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7E095" w14:textId="7E6AC8D3" w:rsidR="00743834" w:rsidRDefault="00743834" w:rsidP="00743834">
      <w:pPr>
        <w:jc w:val="center"/>
        <w:rPr>
          <w:rFonts w:ascii="Gill Sans MT" w:hAnsi="Gill Sans MT"/>
          <w:b/>
          <w:bCs/>
          <w:sz w:val="96"/>
          <w:szCs w:val="96"/>
        </w:rPr>
      </w:pPr>
      <w:r>
        <w:rPr>
          <w:rFonts w:ascii="Gill Sans MT" w:hAnsi="Gill Sans MT"/>
          <w:b/>
          <w:bCs/>
          <w:noProof/>
          <w:sz w:val="96"/>
          <w:szCs w:val="96"/>
          <w:lang w:eastAsia="en-GB"/>
        </w:rPr>
        <w:drawing>
          <wp:inline distT="0" distB="0" distL="0" distR="0" wp14:anchorId="61A7547D" wp14:editId="606FCA17">
            <wp:extent cx="5731510" cy="168338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04287" w14:textId="77777777" w:rsidR="00743834" w:rsidRDefault="00743834" w:rsidP="00743834">
      <w:pPr>
        <w:jc w:val="center"/>
        <w:rPr>
          <w:rFonts w:ascii="Gill Sans MT" w:hAnsi="Gill Sans MT"/>
          <w:b/>
          <w:bCs/>
          <w:sz w:val="96"/>
          <w:szCs w:val="96"/>
        </w:rPr>
      </w:pPr>
    </w:p>
    <w:p w14:paraId="0A1C47F1" w14:textId="3BA8C2A7" w:rsidR="00743834" w:rsidRPr="00743834" w:rsidRDefault="00743834" w:rsidP="00743834">
      <w:pPr>
        <w:jc w:val="center"/>
        <w:rPr>
          <w:rFonts w:ascii="Gill Sans MT" w:hAnsi="Gill Sans MT"/>
          <w:b/>
          <w:bCs/>
          <w:sz w:val="96"/>
          <w:szCs w:val="96"/>
        </w:rPr>
      </w:pPr>
      <w:r w:rsidRPr="00743834">
        <w:rPr>
          <w:rFonts w:ascii="Gill Sans MT" w:hAnsi="Gill Sans MT"/>
          <w:b/>
          <w:bCs/>
          <w:sz w:val="96"/>
          <w:szCs w:val="96"/>
        </w:rPr>
        <w:t>School Development Plan</w:t>
      </w:r>
    </w:p>
    <w:p w14:paraId="4A92E646" w14:textId="6FB4CC7C" w:rsidR="00743834" w:rsidRPr="00743834" w:rsidRDefault="00743834" w:rsidP="00743834">
      <w:pPr>
        <w:jc w:val="center"/>
        <w:rPr>
          <w:rFonts w:ascii="Gill Sans MT" w:hAnsi="Gill Sans MT"/>
          <w:b/>
          <w:bCs/>
          <w:sz w:val="96"/>
          <w:szCs w:val="96"/>
        </w:rPr>
      </w:pPr>
      <w:r w:rsidRPr="00743834">
        <w:rPr>
          <w:rFonts w:ascii="Gill Sans MT" w:hAnsi="Gill Sans MT"/>
          <w:b/>
          <w:bCs/>
          <w:sz w:val="96"/>
          <w:szCs w:val="96"/>
        </w:rPr>
        <w:t>Summary of Proposed Actions &amp; Outcomes</w:t>
      </w:r>
    </w:p>
    <w:p w14:paraId="0615A317" w14:textId="457B4AC1" w:rsidR="00743834" w:rsidRDefault="00743834" w:rsidP="00743834">
      <w:pPr>
        <w:jc w:val="center"/>
        <w:rPr>
          <w:rFonts w:ascii="Gill Sans MT" w:hAnsi="Gill Sans MT"/>
          <w:b/>
          <w:bCs/>
          <w:sz w:val="96"/>
          <w:szCs w:val="96"/>
        </w:rPr>
      </w:pPr>
      <w:r w:rsidRPr="00743834">
        <w:rPr>
          <w:rFonts w:ascii="Gill Sans MT" w:hAnsi="Gill Sans MT"/>
          <w:b/>
          <w:bCs/>
          <w:sz w:val="96"/>
          <w:szCs w:val="96"/>
        </w:rPr>
        <w:t xml:space="preserve">2020 </w:t>
      </w:r>
      <w:r>
        <w:rPr>
          <w:rFonts w:ascii="Gill Sans MT" w:hAnsi="Gill Sans MT"/>
          <w:b/>
          <w:bCs/>
          <w:sz w:val="96"/>
          <w:szCs w:val="96"/>
        </w:rPr>
        <w:t>–</w:t>
      </w:r>
      <w:r w:rsidRPr="00743834">
        <w:rPr>
          <w:rFonts w:ascii="Gill Sans MT" w:hAnsi="Gill Sans MT"/>
          <w:b/>
          <w:bCs/>
          <w:sz w:val="96"/>
          <w:szCs w:val="96"/>
        </w:rPr>
        <w:t xml:space="preserve"> 2021</w:t>
      </w:r>
    </w:p>
    <w:p w14:paraId="382739EF" w14:textId="47DE45F1" w:rsidR="00743834" w:rsidRDefault="00743834" w:rsidP="00743834">
      <w:pPr>
        <w:jc w:val="center"/>
        <w:rPr>
          <w:rFonts w:ascii="Gill Sans MT" w:hAnsi="Gill Sans MT"/>
          <w:b/>
          <w:bCs/>
          <w:sz w:val="96"/>
          <w:szCs w:val="96"/>
        </w:rPr>
      </w:pPr>
    </w:p>
    <w:p w14:paraId="352E10C8" w14:textId="77777777" w:rsidR="00216387" w:rsidRPr="009C5A09" w:rsidRDefault="00216387" w:rsidP="00743834">
      <w:pPr>
        <w:jc w:val="center"/>
        <w:rPr>
          <w:rFonts w:ascii="Gill Sans MT" w:hAnsi="Gill Sans MT"/>
          <w:b/>
          <w:bCs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83"/>
        <w:gridCol w:w="1847"/>
        <w:gridCol w:w="1316"/>
        <w:gridCol w:w="3259"/>
        <w:gridCol w:w="3260"/>
      </w:tblGrid>
      <w:tr w:rsidR="00AC420A" w14:paraId="35A990DE" w14:textId="77777777" w:rsidTr="00AC420A">
        <w:trPr>
          <w:trHeight w:val="497"/>
        </w:trPr>
        <w:tc>
          <w:tcPr>
            <w:tcW w:w="384" w:type="dxa"/>
            <w:shd w:val="clear" w:color="auto" w:fill="990033"/>
          </w:tcPr>
          <w:p w14:paraId="6D2BB48B" w14:textId="77777777" w:rsidR="00AC420A" w:rsidRPr="00B7606F" w:rsidRDefault="00AC420A" w:rsidP="00743834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847" w:type="dxa"/>
            <w:shd w:val="clear" w:color="auto" w:fill="990033"/>
          </w:tcPr>
          <w:p w14:paraId="79129E6E" w14:textId="7DCE44A0" w:rsidR="00AC420A" w:rsidRPr="00B7606F" w:rsidRDefault="00AC420A" w:rsidP="00743834">
            <w:pPr>
              <w:jc w:val="center"/>
              <w:rPr>
                <w:rFonts w:ascii="Gill Sans MT" w:hAnsi="Gill Sans MT"/>
                <w:b/>
                <w:bCs/>
              </w:rPr>
            </w:pPr>
            <w:r w:rsidRPr="00B7606F">
              <w:rPr>
                <w:rFonts w:ascii="Gill Sans MT" w:hAnsi="Gill Sans MT"/>
                <w:b/>
                <w:bCs/>
              </w:rPr>
              <w:t>Goal</w:t>
            </w:r>
          </w:p>
        </w:tc>
        <w:tc>
          <w:tcPr>
            <w:tcW w:w="1313" w:type="dxa"/>
            <w:shd w:val="clear" w:color="auto" w:fill="990033"/>
          </w:tcPr>
          <w:p w14:paraId="667AF4AB" w14:textId="542F45F7" w:rsidR="00AC420A" w:rsidRPr="00B7606F" w:rsidRDefault="00AC420A" w:rsidP="00743834">
            <w:pPr>
              <w:jc w:val="center"/>
              <w:rPr>
                <w:rFonts w:ascii="Gill Sans MT" w:hAnsi="Gill Sans MT"/>
                <w:b/>
                <w:bCs/>
              </w:rPr>
            </w:pPr>
            <w:r w:rsidRPr="00B7606F">
              <w:rPr>
                <w:rFonts w:ascii="Gill Sans MT" w:hAnsi="Gill Sans MT"/>
                <w:b/>
                <w:bCs/>
              </w:rPr>
              <w:t>SDP Area</w:t>
            </w:r>
          </w:p>
        </w:tc>
        <w:tc>
          <w:tcPr>
            <w:tcW w:w="3260" w:type="dxa"/>
            <w:shd w:val="clear" w:color="auto" w:fill="990033"/>
          </w:tcPr>
          <w:p w14:paraId="5A54D0A1" w14:textId="782960FE" w:rsidR="00AC420A" w:rsidRPr="00B7606F" w:rsidRDefault="00AC420A" w:rsidP="00743834">
            <w:pPr>
              <w:jc w:val="center"/>
              <w:rPr>
                <w:rFonts w:ascii="Gill Sans MT" w:hAnsi="Gill Sans MT"/>
                <w:b/>
                <w:bCs/>
              </w:rPr>
            </w:pPr>
            <w:r w:rsidRPr="00B7606F">
              <w:rPr>
                <w:rFonts w:ascii="Gill Sans MT" w:hAnsi="Gill Sans MT"/>
                <w:b/>
                <w:bCs/>
              </w:rPr>
              <w:t>Strategies</w:t>
            </w:r>
          </w:p>
        </w:tc>
        <w:tc>
          <w:tcPr>
            <w:tcW w:w="3261" w:type="dxa"/>
            <w:shd w:val="clear" w:color="auto" w:fill="990033"/>
          </w:tcPr>
          <w:p w14:paraId="02D49545" w14:textId="71264AB5" w:rsidR="00AC420A" w:rsidRPr="00B7606F" w:rsidRDefault="00AC420A" w:rsidP="00743834">
            <w:pPr>
              <w:jc w:val="center"/>
              <w:rPr>
                <w:rFonts w:ascii="Gill Sans MT" w:hAnsi="Gill Sans MT"/>
                <w:b/>
                <w:bCs/>
              </w:rPr>
            </w:pPr>
            <w:r w:rsidRPr="00B7606F">
              <w:rPr>
                <w:rFonts w:ascii="Gill Sans MT" w:hAnsi="Gill Sans MT"/>
                <w:b/>
                <w:bCs/>
              </w:rPr>
              <w:t>Intended Outcome</w:t>
            </w:r>
            <w:r>
              <w:rPr>
                <w:rFonts w:ascii="Gill Sans MT" w:hAnsi="Gill Sans MT"/>
                <w:b/>
                <w:bCs/>
              </w:rPr>
              <w:t>s</w:t>
            </w:r>
          </w:p>
        </w:tc>
      </w:tr>
      <w:tr w:rsidR="00AC420A" w:rsidRPr="00500B29" w14:paraId="0BE25781" w14:textId="77777777" w:rsidTr="00AC420A">
        <w:trPr>
          <w:trHeight w:val="1087"/>
        </w:trPr>
        <w:tc>
          <w:tcPr>
            <w:tcW w:w="384" w:type="dxa"/>
            <w:shd w:val="clear" w:color="auto" w:fill="D5DCE4" w:themeFill="text2" w:themeFillTint="33"/>
          </w:tcPr>
          <w:p w14:paraId="425A8592" w14:textId="31F6544B" w:rsidR="00AC420A" w:rsidRPr="00500B29" w:rsidRDefault="00AC420A" w:rsidP="00B7606F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47" w:type="dxa"/>
            <w:shd w:val="clear" w:color="auto" w:fill="D5DCE4" w:themeFill="text2" w:themeFillTint="33"/>
          </w:tcPr>
          <w:p w14:paraId="452763D9" w14:textId="40BA339B" w:rsidR="00AC420A" w:rsidRPr="00500B29" w:rsidRDefault="00AC420A" w:rsidP="00B7606F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To ensure the of quality of teaching is consistently good or better so that all pupils make the progress of which they are capable</w:t>
            </w:r>
          </w:p>
        </w:tc>
        <w:tc>
          <w:tcPr>
            <w:tcW w:w="1313" w:type="dxa"/>
            <w:shd w:val="clear" w:color="auto" w:fill="D5DCE4" w:themeFill="text2" w:themeFillTint="33"/>
          </w:tcPr>
          <w:p w14:paraId="7C557868" w14:textId="352385C4" w:rsidR="00AC420A" w:rsidRPr="00500B29" w:rsidRDefault="00AC420A" w:rsidP="00ED09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Leadership &amp; Management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14:paraId="69CF226A" w14:textId="77777777" w:rsidR="00AC420A" w:rsidRPr="00500B29" w:rsidRDefault="00AC420A" w:rsidP="00E8148C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Strategy One:</w:t>
            </w:r>
            <w:r w:rsidRPr="00500B29">
              <w:rPr>
                <w:rFonts w:ascii="Gill Sans MT" w:hAnsi="Gill Sans MT"/>
                <w:sz w:val="20"/>
                <w:szCs w:val="20"/>
              </w:rPr>
              <w:t xml:space="preserve"> Teachers develop deep and fluent knowledge and flexible understanding of the content they are teaching</w:t>
            </w:r>
          </w:p>
          <w:p w14:paraId="4A683D3C" w14:textId="77777777" w:rsidR="00AC420A" w:rsidRPr="00500B29" w:rsidRDefault="00AC420A" w:rsidP="00E8148C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Strategy Two:</w:t>
            </w:r>
            <w:r w:rsidRPr="00500B29">
              <w:rPr>
                <w:rFonts w:ascii="Gill Sans MT" w:hAnsi="Gill Sans MT"/>
                <w:sz w:val="20"/>
                <w:szCs w:val="20"/>
              </w:rPr>
              <w:t xml:space="preserve"> Teachers develop the capability to maximise opportunities to learn</w:t>
            </w:r>
          </w:p>
          <w:p w14:paraId="132E5573" w14:textId="1C0202E3" w:rsidR="00AC420A" w:rsidRPr="00500B29" w:rsidRDefault="00AC420A" w:rsidP="00E8148C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Strategy Three:</w:t>
            </w:r>
            <w:r w:rsidRPr="00500B29">
              <w:rPr>
                <w:rFonts w:ascii="Gill Sans MT" w:hAnsi="Gill Sans MT"/>
                <w:sz w:val="20"/>
                <w:szCs w:val="20"/>
              </w:rPr>
              <w:t xml:space="preserve"> Teachers develop the capability to activate pupils hard thinking and learning</w:t>
            </w:r>
          </w:p>
        </w:tc>
        <w:tc>
          <w:tcPr>
            <w:tcW w:w="3261" w:type="dxa"/>
            <w:shd w:val="clear" w:color="auto" w:fill="D5DCE4" w:themeFill="text2" w:themeFillTint="33"/>
          </w:tcPr>
          <w:p w14:paraId="1174171B" w14:textId="77777777" w:rsidR="00AC420A" w:rsidRPr="00500B29" w:rsidRDefault="00AC420A" w:rsidP="00E8148C">
            <w:pPr>
              <w:tabs>
                <w:tab w:val="left" w:pos="234"/>
              </w:tabs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All teaching is effective and challenges all pupils at the right level</w:t>
            </w:r>
          </w:p>
          <w:p w14:paraId="2DA71AA9" w14:textId="77777777" w:rsidR="00AC420A" w:rsidRPr="00500B29" w:rsidRDefault="00AC420A" w:rsidP="00E8148C">
            <w:pPr>
              <w:tabs>
                <w:tab w:val="left" w:pos="234"/>
              </w:tabs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Teachers subject knowledge is secure and enables all pupils to be engaged in their learning</w:t>
            </w:r>
          </w:p>
          <w:p w14:paraId="7EB6938B" w14:textId="7A4534B5" w:rsidR="00AC420A" w:rsidRPr="00500B29" w:rsidRDefault="00AC420A" w:rsidP="00E8148C">
            <w:pPr>
              <w:tabs>
                <w:tab w:val="left" w:pos="234"/>
              </w:tabs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 xml:space="preserve">Teachers are effective in setting </w:t>
            </w:r>
            <w:r w:rsidR="00C51A45" w:rsidRPr="00500B29">
              <w:rPr>
                <w:rFonts w:ascii="Gill Sans MT" w:hAnsi="Gill Sans MT"/>
                <w:sz w:val="20"/>
                <w:szCs w:val="20"/>
              </w:rPr>
              <w:t>tasks, which</w:t>
            </w:r>
            <w:r w:rsidRPr="00500B29">
              <w:rPr>
                <w:rFonts w:ascii="Gill Sans MT" w:hAnsi="Gill Sans MT"/>
                <w:sz w:val="20"/>
                <w:szCs w:val="20"/>
              </w:rPr>
              <w:t xml:space="preserve"> present an appropriate level of challenge for all pupils.</w:t>
            </w:r>
          </w:p>
          <w:p w14:paraId="7390D98B" w14:textId="3D4726A5" w:rsidR="00AC420A" w:rsidRPr="00500B29" w:rsidRDefault="00AC420A" w:rsidP="00E8148C">
            <w:pPr>
              <w:ind w:left="3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All teachers make effective use of questions to check on all pupils’ understanding.</w:t>
            </w:r>
          </w:p>
        </w:tc>
      </w:tr>
      <w:tr w:rsidR="00AC420A" w:rsidRPr="00500B29" w14:paraId="7AF99A03" w14:textId="77777777" w:rsidTr="00AC420A">
        <w:trPr>
          <w:trHeight w:val="1072"/>
        </w:trPr>
        <w:tc>
          <w:tcPr>
            <w:tcW w:w="384" w:type="dxa"/>
            <w:shd w:val="clear" w:color="auto" w:fill="FBE4D5" w:themeFill="accent2" w:themeFillTint="33"/>
          </w:tcPr>
          <w:p w14:paraId="43A64B33" w14:textId="520C88BA" w:rsidR="00AC420A" w:rsidRPr="00500B29" w:rsidRDefault="00AC420A" w:rsidP="00B7606F">
            <w:pPr>
              <w:jc w:val="center"/>
              <w:rPr>
                <w:rFonts w:ascii="Gill Sans MT" w:hAnsi="Gill Sans MT" w:cstheme="majorHAnsi"/>
                <w:b/>
                <w:bCs/>
                <w:i/>
                <w:iCs/>
                <w:sz w:val="20"/>
                <w:szCs w:val="20"/>
              </w:rPr>
            </w:pPr>
            <w:r w:rsidRPr="00500B29">
              <w:rPr>
                <w:rFonts w:ascii="Gill Sans MT" w:hAnsi="Gill Sans MT" w:cstheme="maj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7" w:type="dxa"/>
            <w:shd w:val="clear" w:color="auto" w:fill="FBE4D5" w:themeFill="accent2" w:themeFillTint="33"/>
          </w:tcPr>
          <w:p w14:paraId="0543ADC2" w14:textId="25C2F7B9" w:rsidR="00AC420A" w:rsidRPr="00500B29" w:rsidRDefault="00AC420A" w:rsidP="00B7606F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hAnsi="Gill Sans MT" w:cstheme="majorHAnsi"/>
                <w:b/>
                <w:bCs/>
                <w:sz w:val="20"/>
                <w:szCs w:val="20"/>
              </w:rPr>
              <w:t>Improve Pupils’ attendance so that absence and persistent absence rates are close to the national averages for similar schools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55CF8016" w14:textId="54BB4E48" w:rsidR="00AC420A" w:rsidRPr="00500B29" w:rsidRDefault="00AC420A" w:rsidP="00ED09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Behaviour &amp; Attitude</w:t>
            </w:r>
          </w:p>
          <w:p w14:paraId="67F3828A" w14:textId="77777777" w:rsidR="00AC420A" w:rsidRPr="00500B29" w:rsidRDefault="00AC420A" w:rsidP="00ED09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42F253D" w14:textId="1471AC81" w:rsidR="00AC420A" w:rsidRPr="00500B29" w:rsidRDefault="00AC420A" w:rsidP="00ED09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40C5D563" w14:textId="77777777" w:rsidR="00AC420A" w:rsidRPr="00500B29" w:rsidRDefault="00AC420A" w:rsidP="0005655B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Strategy One:</w:t>
            </w:r>
          </w:p>
          <w:p w14:paraId="2DC7D005" w14:textId="77777777" w:rsidR="00AC420A" w:rsidRPr="00500B29" w:rsidRDefault="00AC420A" w:rsidP="00B8339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Good / outstanding teaching and learning through an enriching curriculum that makes pupils want to come to school</w:t>
            </w:r>
            <w:r w:rsidRPr="00500B29">
              <w:rPr>
                <w:rFonts w:ascii="Gill Sans MT" w:hAnsi="Gill Sans MT"/>
                <w:sz w:val="20"/>
                <w:szCs w:val="20"/>
              </w:rPr>
              <w:tab/>
            </w:r>
          </w:p>
          <w:p w14:paraId="00981B4C" w14:textId="73C2A7F9" w:rsidR="00AC420A" w:rsidRPr="00500B29" w:rsidRDefault="00AC420A" w:rsidP="00B8339C">
            <w:pPr>
              <w:jc w:val="both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Strategy Two:</w:t>
            </w:r>
          </w:p>
          <w:p w14:paraId="665BEE66" w14:textId="77777777" w:rsidR="00AC420A" w:rsidRPr="00500B29" w:rsidRDefault="00AC420A" w:rsidP="0005655B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Develop effective relationships with support agencies:</w:t>
            </w:r>
          </w:p>
          <w:p w14:paraId="6FD5BD4F" w14:textId="77777777" w:rsidR="00AC420A" w:rsidRPr="00500B29" w:rsidRDefault="00AC420A" w:rsidP="0005655B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 xml:space="preserve"> Trust EWO, Safer Schools Officer, Admissions, School Exclusion Team, Local Hub Team, Pyramid Schools, Social Workers and others within the Care System, NHS etc</w:t>
            </w:r>
          </w:p>
          <w:p w14:paraId="75CC6779" w14:textId="73261344" w:rsidR="00AC420A" w:rsidRPr="00500B29" w:rsidRDefault="00AC420A" w:rsidP="0005655B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Strategy Three</w:t>
            </w:r>
          </w:p>
          <w:p w14:paraId="0D7814BB" w14:textId="77777777" w:rsidR="00AC420A" w:rsidRPr="00500B29" w:rsidRDefault="00AC420A" w:rsidP="0005655B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Very high expectations! Encourage all to aim for a perfect 100% attendance rate every week. Early intervention when attendance drops. I</w:t>
            </w:r>
            <w:r w:rsidRPr="00500B29">
              <w:rPr>
                <w:rFonts w:ascii="Gill Sans MT" w:hAnsi="Gill Sans MT"/>
                <w:sz w:val="20"/>
                <w:szCs w:val="20"/>
              </w:rPr>
              <w:tab/>
            </w:r>
          </w:p>
          <w:p w14:paraId="3DAA7CD3" w14:textId="525588F8" w:rsidR="00AC420A" w:rsidRPr="00500B29" w:rsidRDefault="00AC420A" w:rsidP="0005655B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Strategy Four</w:t>
            </w:r>
          </w:p>
          <w:p w14:paraId="50838BD5" w14:textId="77777777" w:rsidR="00AC420A" w:rsidRPr="00500B29" w:rsidRDefault="00AC420A" w:rsidP="0005655B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Attendance review conversations and/or support meetings for PA pupils and those at risk of becoming PA</w:t>
            </w:r>
          </w:p>
          <w:p w14:paraId="61985AC5" w14:textId="77D5D79D" w:rsidR="00AC420A" w:rsidRPr="00500B29" w:rsidRDefault="00AC420A" w:rsidP="0005655B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Strategy Five</w:t>
            </w:r>
          </w:p>
          <w:p w14:paraId="6D0F1CC9" w14:textId="77777777" w:rsidR="00AC420A" w:rsidRPr="00500B29" w:rsidRDefault="00AC420A" w:rsidP="0005655B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Use motivational attendance awards and aim to develop and refresh rewards to maintain the children’s motivation</w:t>
            </w:r>
            <w:r w:rsidRPr="00500B29">
              <w:rPr>
                <w:rFonts w:ascii="Gill Sans MT" w:hAnsi="Gill Sans MT"/>
                <w:sz w:val="20"/>
                <w:szCs w:val="20"/>
              </w:rPr>
              <w:tab/>
            </w:r>
          </w:p>
          <w:p w14:paraId="2CDF2317" w14:textId="448BA914" w:rsidR="00AC420A" w:rsidRPr="00500B29" w:rsidRDefault="00AC420A" w:rsidP="0005655B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Strategy Six</w:t>
            </w:r>
          </w:p>
          <w:p w14:paraId="106DA04E" w14:textId="0751F5F0" w:rsidR="00AC420A" w:rsidRPr="00500B29" w:rsidRDefault="00AC420A" w:rsidP="0005655B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Introduces Early Bird provision to encourage better punctuality and a more purposeful start to the school day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13CDED4C" w14:textId="77777777" w:rsidR="00AC420A" w:rsidRPr="00500B29" w:rsidRDefault="00AC420A" w:rsidP="0005655B">
            <w:pPr>
              <w:tabs>
                <w:tab w:val="left" w:pos="234"/>
              </w:tabs>
              <w:ind w:left="-3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Monitoring of teaching and learning evidences progress</w:t>
            </w:r>
          </w:p>
          <w:p w14:paraId="5E152A04" w14:textId="77777777" w:rsidR="00AC420A" w:rsidRPr="00500B29" w:rsidRDefault="00AC420A" w:rsidP="0005655B">
            <w:pPr>
              <w:tabs>
                <w:tab w:val="left" w:pos="234"/>
              </w:tabs>
              <w:ind w:left="-3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Outcomes improve especially for vulnerable attendees</w:t>
            </w:r>
          </w:p>
          <w:p w14:paraId="6CF9B823" w14:textId="77777777" w:rsidR="00AC420A" w:rsidRPr="00500B29" w:rsidRDefault="00AC420A" w:rsidP="0005655B">
            <w:pPr>
              <w:tabs>
                <w:tab w:val="left" w:pos="234"/>
              </w:tabs>
              <w:ind w:left="-3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Absence rates decrease</w:t>
            </w:r>
          </w:p>
          <w:p w14:paraId="431A0B01" w14:textId="77777777" w:rsidR="00AC420A" w:rsidRPr="00500B29" w:rsidRDefault="00AC420A" w:rsidP="0005655B">
            <w:pPr>
              <w:tabs>
                <w:tab w:val="left" w:pos="234"/>
              </w:tabs>
              <w:ind w:left="-3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Persistent absence decreases</w:t>
            </w:r>
          </w:p>
          <w:p w14:paraId="5924FB9B" w14:textId="77777777" w:rsidR="00AC420A" w:rsidRPr="00500B29" w:rsidRDefault="00AC420A" w:rsidP="0005655B">
            <w:pPr>
              <w:tabs>
                <w:tab w:val="left" w:pos="234"/>
              </w:tabs>
              <w:ind w:left="-3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 xml:space="preserve">Punctuality rates improve </w:t>
            </w:r>
          </w:p>
          <w:p w14:paraId="58AB85FC" w14:textId="77777777" w:rsidR="00AC420A" w:rsidRPr="00500B29" w:rsidRDefault="00AC420A" w:rsidP="00ED09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C420A" w:rsidRPr="00500B29" w14:paraId="49C21471" w14:textId="77777777" w:rsidTr="00AC420A">
        <w:trPr>
          <w:trHeight w:val="1087"/>
        </w:trPr>
        <w:tc>
          <w:tcPr>
            <w:tcW w:w="384" w:type="dxa"/>
            <w:shd w:val="clear" w:color="auto" w:fill="E2EFD9" w:themeFill="accent6" w:themeFillTint="33"/>
          </w:tcPr>
          <w:p w14:paraId="5386F873" w14:textId="45E62C59" w:rsidR="00AC420A" w:rsidRPr="00500B29" w:rsidRDefault="00AC420A" w:rsidP="00B7606F">
            <w:pPr>
              <w:jc w:val="center"/>
              <w:rPr>
                <w:rFonts w:ascii="Gill Sans MT" w:hAnsi="Gill Sans MT" w:cs="Calibri"/>
                <w:b/>
                <w:bCs/>
                <w:i/>
                <w:iCs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47" w:type="dxa"/>
            <w:shd w:val="clear" w:color="auto" w:fill="E2EFD9" w:themeFill="accent6" w:themeFillTint="33"/>
          </w:tcPr>
          <w:p w14:paraId="5496648B" w14:textId="5D9FB8F2" w:rsidR="00AC420A" w:rsidRPr="00500B29" w:rsidRDefault="00AC420A" w:rsidP="00B7606F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b/>
                <w:bCs/>
                <w:sz w:val="20"/>
                <w:szCs w:val="20"/>
              </w:rPr>
              <w:t>To ensure a consistent approach to Reading across school.</w:t>
            </w:r>
          </w:p>
        </w:tc>
        <w:tc>
          <w:tcPr>
            <w:tcW w:w="1313" w:type="dxa"/>
            <w:shd w:val="clear" w:color="auto" w:fill="E2EFD9" w:themeFill="accent6" w:themeFillTint="33"/>
          </w:tcPr>
          <w:p w14:paraId="5BD3398D" w14:textId="3141F395" w:rsidR="00AC420A" w:rsidRPr="00500B29" w:rsidRDefault="00AC420A" w:rsidP="00ED09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Quality of Education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43C5D46" w14:textId="77777777" w:rsidR="00AC420A" w:rsidRPr="00500B29" w:rsidRDefault="00AC420A" w:rsidP="00335BBF">
            <w:pPr>
              <w:spacing w:line="276" w:lineRule="auto"/>
              <w:rPr>
                <w:rFonts w:ascii="Gill Sans MT" w:hAnsi="Gill Sans MT" w:cs="Calibri"/>
                <w:b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b/>
                <w:sz w:val="20"/>
                <w:szCs w:val="20"/>
              </w:rPr>
              <w:t>Strategy One:</w:t>
            </w:r>
          </w:p>
          <w:p w14:paraId="3AD2FB08" w14:textId="77777777" w:rsidR="00AC420A" w:rsidRPr="00500B29" w:rsidRDefault="00AC420A" w:rsidP="00335BBF">
            <w:pPr>
              <w:spacing w:line="276" w:lineRule="auto"/>
              <w:ind w:hanging="16"/>
              <w:rPr>
                <w:rFonts w:ascii="Gill Sans MT" w:hAnsi="Gill Sans MT" w:cs="Calibri"/>
                <w:bCs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bCs/>
                <w:sz w:val="20"/>
                <w:szCs w:val="20"/>
              </w:rPr>
              <w:t xml:space="preserve">KPIs are the main driver within lessons and </w:t>
            </w:r>
            <w:proofErr w:type="gramStart"/>
            <w:r w:rsidRPr="00500B29">
              <w:rPr>
                <w:rFonts w:ascii="Gill Sans MT" w:hAnsi="Gill Sans MT" w:cs="Calibri"/>
                <w:bCs/>
                <w:sz w:val="20"/>
                <w:szCs w:val="20"/>
              </w:rPr>
              <w:t>are used</w:t>
            </w:r>
            <w:proofErr w:type="gramEnd"/>
            <w:r w:rsidRPr="00500B29">
              <w:rPr>
                <w:rFonts w:ascii="Gill Sans MT" w:hAnsi="Gill Sans MT" w:cs="Calibri"/>
                <w:bCs/>
                <w:sz w:val="20"/>
                <w:szCs w:val="20"/>
              </w:rPr>
              <w:t xml:space="preserve"> to plan and review learning and to provide feedback to the pupils.</w:t>
            </w:r>
          </w:p>
          <w:p w14:paraId="5B3A102C" w14:textId="77777777" w:rsidR="00AC420A" w:rsidRPr="00500B29" w:rsidRDefault="00AC420A" w:rsidP="00335BBF">
            <w:pPr>
              <w:spacing w:line="276" w:lineRule="auto"/>
              <w:rPr>
                <w:rFonts w:ascii="Gill Sans MT" w:hAnsi="Gill Sans MT" w:cs="Calibri"/>
                <w:b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b/>
                <w:sz w:val="20"/>
                <w:szCs w:val="20"/>
              </w:rPr>
              <w:t>Strategy Two:</w:t>
            </w:r>
          </w:p>
          <w:p w14:paraId="41393238" w14:textId="77777777" w:rsidR="00AC420A" w:rsidRPr="00500B29" w:rsidRDefault="00AC420A" w:rsidP="00335BBF">
            <w:pPr>
              <w:ind w:left="3"/>
              <w:rPr>
                <w:rFonts w:ascii="Gill Sans MT" w:hAnsi="Gill Sans MT" w:cs="Calibri"/>
                <w:bCs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bCs/>
                <w:sz w:val="20"/>
                <w:szCs w:val="20"/>
              </w:rPr>
              <w:t xml:space="preserve">Build subject knowledge in teaching phonology, fluency and comprehension skills so staff understand how sequential skills </w:t>
            </w:r>
            <w:proofErr w:type="gramStart"/>
            <w:r w:rsidRPr="00500B29">
              <w:rPr>
                <w:rFonts w:ascii="Gill Sans MT" w:hAnsi="Gill Sans MT" w:cs="Calibri"/>
                <w:bCs/>
                <w:sz w:val="20"/>
                <w:szCs w:val="20"/>
              </w:rPr>
              <w:t>can be taught</w:t>
            </w:r>
            <w:proofErr w:type="gramEnd"/>
            <w:r w:rsidRPr="00500B29">
              <w:rPr>
                <w:rFonts w:ascii="Gill Sans MT" w:hAnsi="Gill Sans MT" w:cs="Calibri"/>
                <w:bCs/>
                <w:sz w:val="20"/>
                <w:szCs w:val="20"/>
              </w:rPr>
              <w:t xml:space="preserve"> to secure progress.</w:t>
            </w:r>
          </w:p>
          <w:p w14:paraId="03C03C20" w14:textId="77777777" w:rsidR="00AC420A" w:rsidRPr="00500B29" w:rsidRDefault="00AC420A" w:rsidP="00335BBF">
            <w:pPr>
              <w:spacing w:line="276" w:lineRule="auto"/>
              <w:ind w:left="-3"/>
              <w:rPr>
                <w:rFonts w:ascii="Gill Sans MT" w:hAnsi="Gill Sans MT" w:cs="Calibri"/>
                <w:b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b/>
                <w:sz w:val="20"/>
                <w:szCs w:val="20"/>
              </w:rPr>
              <w:t>Strategy Three:</w:t>
            </w:r>
          </w:p>
          <w:p w14:paraId="0BF045B1" w14:textId="00CF52AC" w:rsidR="00AC420A" w:rsidRPr="00500B29" w:rsidRDefault="00AC420A" w:rsidP="00335BBF">
            <w:pPr>
              <w:ind w:left="3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bCs/>
                <w:sz w:val="20"/>
                <w:szCs w:val="20"/>
              </w:rPr>
              <w:lastRenderedPageBreak/>
              <w:t>Use key texts to link the individual skills within lessons so that reading fluency, stamina and understanding is continually being developed over time in order to secure longer term retention</w:t>
            </w:r>
          </w:p>
          <w:p w14:paraId="289C014A" w14:textId="255D6B76" w:rsidR="00AC420A" w:rsidRPr="00500B29" w:rsidRDefault="00AC420A" w:rsidP="00335BB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2EFD9" w:themeFill="accent6" w:themeFillTint="33"/>
          </w:tcPr>
          <w:p w14:paraId="5E228F64" w14:textId="5D9BE7CC" w:rsidR="00AC420A" w:rsidRPr="00500B29" w:rsidRDefault="00AC420A" w:rsidP="00335BBF">
            <w:pPr>
              <w:pStyle w:val="BulletedList"/>
              <w:numPr>
                <w:ilvl w:val="0"/>
                <w:numId w:val="0"/>
              </w:numPr>
              <w:spacing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sz w:val="20"/>
                <w:szCs w:val="20"/>
              </w:rPr>
              <w:lastRenderedPageBreak/>
              <w:t xml:space="preserve">Teachers understand how sequential skills </w:t>
            </w:r>
            <w:proofErr w:type="gramStart"/>
            <w:r w:rsidRPr="00500B29">
              <w:rPr>
                <w:rFonts w:ascii="Gill Sans MT" w:hAnsi="Gill Sans MT" w:cs="Calibri"/>
                <w:sz w:val="20"/>
                <w:szCs w:val="20"/>
              </w:rPr>
              <w:t>can be taught</w:t>
            </w:r>
            <w:proofErr w:type="gramEnd"/>
            <w:r w:rsidRPr="00500B29">
              <w:rPr>
                <w:rFonts w:ascii="Gill Sans MT" w:hAnsi="Gill Sans MT" w:cs="Calibri"/>
                <w:sz w:val="20"/>
                <w:szCs w:val="20"/>
              </w:rPr>
              <w:t xml:space="preserve"> to secure progress.</w:t>
            </w:r>
          </w:p>
          <w:p w14:paraId="6EE3E87C" w14:textId="3D25D0CC" w:rsidR="00AC420A" w:rsidRPr="00500B29" w:rsidRDefault="00AC420A" w:rsidP="00335BBF">
            <w:pPr>
              <w:pStyle w:val="BulletedList"/>
              <w:numPr>
                <w:ilvl w:val="0"/>
                <w:numId w:val="0"/>
              </w:numPr>
              <w:spacing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sz w:val="20"/>
                <w:szCs w:val="20"/>
              </w:rPr>
              <w:t>There is good subject knowledge in teaching phonology, fluency and comprehension skills.</w:t>
            </w:r>
          </w:p>
          <w:p w14:paraId="385AD23C" w14:textId="4FF64CE3" w:rsidR="00AC420A" w:rsidRPr="00500B29" w:rsidRDefault="00AC420A" w:rsidP="00335BBF">
            <w:pPr>
              <w:pStyle w:val="BulletedList"/>
              <w:numPr>
                <w:ilvl w:val="0"/>
                <w:numId w:val="0"/>
              </w:numPr>
              <w:spacing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sz w:val="20"/>
                <w:szCs w:val="20"/>
              </w:rPr>
              <w:t xml:space="preserve">Teachers use key text to link the individual skills within lessons so that reading fluency, stamina and understanding </w:t>
            </w:r>
            <w:proofErr w:type="gramStart"/>
            <w:r w:rsidRPr="00500B29">
              <w:rPr>
                <w:rFonts w:ascii="Gill Sans MT" w:hAnsi="Gill Sans MT" w:cs="Calibri"/>
                <w:sz w:val="20"/>
                <w:szCs w:val="20"/>
              </w:rPr>
              <w:t>is continually being developed</w:t>
            </w:r>
            <w:proofErr w:type="gramEnd"/>
            <w:r w:rsidRPr="00500B29">
              <w:rPr>
                <w:rFonts w:ascii="Gill Sans MT" w:hAnsi="Gill Sans MT" w:cs="Calibri"/>
                <w:sz w:val="20"/>
                <w:szCs w:val="20"/>
              </w:rPr>
              <w:t xml:space="preserve"> over time in order to secure </w:t>
            </w:r>
            <w:r w:rsidR="00C51A45" w:rsidRPr="00500B29">
              <w:rPr>
                <w:rFonts w:ascii="Gill Sans MT" w:hAnsi="Gill Sans MT" w:cs="Calibri"/>
                <w:sz w:val="20"/>
                <w:szCs w:val="20"/>
              </w:rPr>
              <w:t>longer-term</w:t>
            </w:r>
            <w:r w:rsidRPr="00500B29">
              <w:rPr>
                <w:rFonts w:ascii="Gill Sans MT" w:hAnsi="Gill Sans MT" w:cs="Calibri"/>
                <w:sz w:val="20"/>
                <w:szCs w:val="20"/>
              </w:rPr>
              <w:t xml:space="preserve"> retention.</w:t>
            </w:r>
          </w:p>
          <w:p w14:paraId="03EA30BB" w14:textId="71BB869F" w:rsidR="00AC420A" w:rsidRPr="00500B29" w:rsidRDefault="00AC420A" w:rsidP="00335BBF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sz w:val="20"/>
                <w:szCs w:val="20"/>
              </w:rPr>
              <w:lastRenderedPageBreak/>
              <w:t xml:space="preserve">Teachers link the reading analysis prior to the writing teaching sequence to allow pupils to analyse more vocabulary, sentence structures and authorial intent prior to writing. </w:t>
            </w:r>
            <w:r w:rsidRPr="00500B29">
              <w:rPr>
                <w:rFonts w:ascii="Gill Sans MT" w:hAnsi="Gill Sans MT" w:cs="Calibri"/>
                <w:i/>
                <w:sz w:val="20"/>
                <w:szCs w:val="20"/>
              </w:rPr>
              <w:t>(NLE 20)</w:t>
            </w:r>
          </w:p>
        </w:tc>
      </w:tr>
      <w:tr w:rsidR="00AC420A" w:rsidRPr="00500B29" w14:paraId="7EF51B35" w14:textId="77777777" w:rsidTr="00AC420A">
        <w:trPr>
          <w:trHeight w:val="1087"/>
        </w:trPr>
        <w:tc>
          <w:tcPr>
            <w:tcW w:w="384" w:type="dxa"/>
            <w:shd w:val="clear" w:color="auto" w:fill="FFF2CC" w:themeFill="accent4" w:themeFillTint="33"/>
          </w:tcPr>
          <w:p w14:paraId="3020E279" w14:textId="2A4037F0" w:rsidR="00AC420A" w:rsidRPr="00500B29" w:rsidRDefault="00AC420A" w:rsidP="00B7606F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47" w:type="dxa"/>
            <w:shd w:val="clear" w:color="auto" w:fill="FFF2CC" w:themeFill="accent4" w:themeFillTint="33"/>
          </w:tcPr>
          <w:p w14:paraId="359709BE" w14:textId="7BF63A20" w:rsidR="00AC420A" w:rsidRPr="00500B29" w:rsidRDefault="00AC420A" w:rsidP="00B7606F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To ensure a consistent approach to Writing across school</w:t>
            </w:r>
          </w:p>
        </w:tc>
        <w:tc>
          <w:tcPr>
            <w:tcW w:w="1313" w:type="dxa"/>
            <w:shd w:val="clear" w:color="auto" w:fill="FFF2CC" w:themeFill="accent4" w:themeFillTint="33"/>
          </w:tcPr>
          <w:p w14:paraId="433368CB" w14:textId="7745A065" w:rsidR="00AC420A" w:rsidRPr="00500B29" w:rsidRDefault="00AC420A" w:rsidP="00ED09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 xml:space="preserve">Quality of Education </w:t>
            </w:r>
          </w:p>
          <w:p w14:paraId="14427438" w14:textId="26480FD6" w:rsidR="00AC420A" w:rsidRPr="00500B29" w:rsidRDefault="00AC420A" w:rsidP="009C5A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755D5095" w14:textId="77777777" w:rsidR="00AC420A" w:rsidRPr="00500B29" w:rsidRDefault="00AC420A" w:rsidP="00F7131E">
            <w:pPr>
              <w:rPr>
                <w:rFonts w:ascii="Gill Sans MT" w:hAnsi="Gill Sans MT" w:cs="Calibri"/>
                <w:b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b/>
                <w:sz w:val="20"/>
                <w:szCs w:val="20"/>
              </w:rPr>
              <w:t>Strategy One:</w:t>
            </w:r>
          </w:p>
          <w:p w14:paraId="264D492F" w14:textId="77777777" w:rsidR="00AC420A" w:rsidRPr="00500B29" w:rsidRDefault="00AC420A" w:rsidP="00F7131E">
            <w:pPr>
              <w:ind w:left="3"/>
              <w:rPr>
                <w:rFonts w:ascii="Gill Sans MT" w:hAnsi="Gill Sans MT" w:cs="Calibri"/>
                <w:bCs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bCs/>
                <w:sz w:val="20"/>
                <w:szCs w:val="20"/>
              </w:rPr>
              <w:t xml:space="preserve">Ensure that the new Writing Structure (including the use of KPIs) </w:t>
            </w:r>
            <w:proofErr w:type="gramStart"/>
            <w:r w:rsidRPr="00500B29">
              <w:rPr>
                <w:rFonts w:ascii="Gill Sans MT" w:hAnsi="Gill Sans MT" w:cs="Calibri"/>
                <w:bCs/>
                <w:sz w:val="20"/>
                <w:szCs w:val="20"/>
              </w:rPr>
              <w:t>is being taught</w:t>
            </w:r>
            <w:proofErr w:type="gramEnd"/>
            <w:r w:rsidRPr="00500B29">
              <w:rPr>
                <w:rFonts w:ascii="Gill Sans MT" w:hAnsi="Gill Sans MT" w:cs="Calibri"/>
                <w:bCs/>
                <w:sz w:val="20"/>
                <w:szCs w:val="20"/>
              </w:rPr>
              <w:t xml:space="preserve"> effectively and consistently throughout school within the Writing books and likewise continues to be evidenced throughout Curriculum and Science books too.</w:t>
            </w:r>
          </w:p>
          <w:p w14:paraId="1FFC1022" w14:textId="77777777" w:rsidR="00AC420A" w:rsidRPr="00500B29" w:rsidRDefault="00AC420A" w:rsidP="00F7131E">
            <w:pPr>
              <w:rPr>
                <w:rFonts w:ascii="Gill Sans MT" w:hAnsi="Gill Sans MT" w:cs="Calibri"/>
                <w:b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b/>
                <w:sz w:val="20"/>
                <w:szCs w:val="20"/>
              </w:rPr>
              <w:t>Strategy Two:</w:t>
            </w:r>
          </w:p>
          <w:p w14:paraId="39EB20C6" w14:textId="3B58CACC" w:rsidR="00AC420A" w:rsidRPr="00500B29" w:rsidRDefault="00AC420A" w:rsidP="00F7131E">
            <w:pPr>
              <w:pStyle w:val="BodyText"/>
              <w:ind w:left="3"/>
              <w:rPr>
                <w:rFonts w:ascii="Gill Sans MT" w:hAnsi="Gill Sans MT" w:cs="Calibri"/>
                <w:bCs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bCs/>
                <w:sz w:val="20"/>
                <w:szCs w:val="20"/>
              </w:rPr>
              <w:t xml:space="preserve">Staff to have high expectations of pupil’s in all lessons where writing may occur and to model </w:t>
            </w:r>
          </w:p>
          <w:p w14:paraId="728A86E4" w14:textId="77777777" w:rsidR="00AC420A" w:rsidRPr="00500B29" w:rsidRDefault="00AC420A" w:rsidP="00F7131E">
            <w:pPr>
              <w:rPr>
                <w:rFonts w:ascii="Gill Sans MT" w:hAnsi="Gill Sans MT" w:cs="Calibri"/>
                <w:b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b/>
                <w:sz w:val="20"/>
                <w:szCs w:val="20"/>
              </w:rPr>
              <w:t>Strategy Three:</w:t>
            </w:r>
          </w:p>
          <w:p w14:paraId="7E5D9DEE" w14:textId="4195E5BB" w:rsidR="00AC420A" w:rsidRPr="00500B29" w:rsidRDefault="00AC420A" w:rsidP="00F7131E">
            <w:pPr>
              <w:rPr>
                <w:rFonts w:ascii="Gill Sans MT" w:hAnsi="Gill Sans MT" w:cs="Calibri"/>
                <w:bCs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bCs/>
                <w:sz w:val="20"/>
                <w:szCs w:val="20"/>
              </w:rPr>
              <w:t>Pupils to widen their vocabulary through the development of questioning in both Writing lessons</w:t>
            </w:r>
            <w:r w:rsidRPr="00500B29">
              <w:rPr>
                <w:rFonts w:ascii="Gill Sans MT" w:hAnsi="Gill Sans MT" w:cs="Calibri"/>
                <w:bCs/>
                <w:i/>
                <w:sz w:val="20"/>
                <w:szCs w:val="20"/>
              </w:rPr>
              <w:t xml:space="preserve">. </w:t>
            </w:r>
            <w:r w:rsidRPr="00500B29">
              <w:rPr>
                <w:rFonts w:ascii="Gill Sans MT" w:hAnsi="Gill Sans MT" w:cs="Calibri"/>
                <w:bCs/>
                <w:sz w:val="20"/>
                <w:szCs w:val="20"/>
              </w:rPr>
              <w:t xml:space="preserve">Likewise, continue to develop further </w:t>
            </w:r>
            <w:proofErr w:type="gramStart"/>
            <w:r w:rsidRPr="00500B29">
              <w:rPr>
                <w:rFonts w:ascii="Gill Sans MT" w:hAnsi="Gill Sans MT" w:cs="Calibri"/>
                <w:bCs/>
                <w:sz w:val="20"/>
                <w:szCs w:val="20"/>
              </w:rPr>
              <w:t>high-quality</w:t>
            </w:r>
            <w:proofErr w:type="gramEnd"/>
            <w:r w:rsidRPr="00500B29">
              <w:rPr>
                <w:rFonts w:ascii="Gill Sans MT" w:hAnsi="Gill Sans MT" w:cs="Calibri"/>
                <w:bCs/>
                <w:sz w:val="20"/>
                <w:szCs w:val="20"/>
              </w:rPr>
              <w:t xml:space="preserve"> modelling by ALL staff, including language use and expectation.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25A9596C" w14:textId="4A030240" w:rsidR="00AC420A" w:rsidRPr="00500B29" w:rsidRDefault="00AC420A" w:rsidP="00F7131E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ascii="Gill Sans MT" w:eastAsiaTheme="minorHAnsi" w:hAnsi="Gill Sans MT" w:cs="Calibri"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sz w:val="20"/>
                <w:szCs w:val="20"/>
              </w:rPr>
              <w:t>The new Writing Structure has</w:t>
            </w:r>
          </w:p>
          <w:p w14:paraId="6CD85993" w14:textId="63F76294" w:rsidR="00AC420A" w:rsidRPr="00500B29" w:rsidRDefault="00C51A45" w:rsidP="00F7131E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ascii="Gill Sans MT" w:hAnsi="Gill Sans MT" w:cs="Calibri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Calibri"/>
                <w:sz w:val="20"/>
                <w:szCs w:val="20"/>
              </w:rPr>
              <w:t>s</w:t>
            </w:r>
            <w:r w:rsidRPr="00500B29">
              <w:rPr>
                <w:rFonts w:ascii="Gill Sans MT" w:hAnsi="Gill Sans MT" w:cs="Calibri"/>
                <w:sz w:val="20"/>
                <w:szCs w:val="20"/>
              </w:rPr>
              <w:t>trengthened</w:t>
            </w:r>
            <w:proofErr w:type="gramEnd"/>
            <w:r w:rsidR="00AC420A" w:rsidRPr="00500B29">
              <w:rPr>
                <w:rFonts w:ascii="Gill Sans MT" w:hAnsi="Gill Sans MT" w:cs="Calibri"/>
                <w:sz w:val="20"/>
                <w:szCs w:val="20"/>
              </w:rPr>
              <w:t xml:space="preserve"> the quality of teaching in Writing including the elimination of inconsistencies from lesson to lesson, class to class.</w:t>
            </w:r>
          </w:p>
          <w:p w14:paraId="164E0D0B" w14:textId="77777777" w:rsidR="00AC420A" w:rsidRPr="00500B29" w:rsidRDefault="00AC420A" w:rsidP="00F7131E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sz w:val="20"/>
                <w:szCs w:val="20"/>
              </w:rPr>
              <w:t xml:space="preserve">There is a formal approach to strategic improvement and a structured and documented approach to monitoring. </w:t>
            </w:r>
          </w:p>
          <w:p w14:paraId="4B50E95E" w14:textId="35CAD747" w:rsidR="00AC420A" w:rsidRPr="00500B29" w:rsidRDefault="00AC420A" w:rsidP="00F7131E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sz w:val="20"/>
                <w:szCs w:val="20"/>
              </w:rPr>
              <w:t xml:space="preserve">There is greater consistency, precision, and clarity. </w:t>
            </w:r>
          </w:p>
          <w:p w14:paraId="42F15855" w14:textId="3A442EF8" w:rsidR="00AC420A" w:rsidRPr="00500B29" w:rsidRDefault="00AC420A" w:rsidP="00F7131E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sz w:val="20"/>
                <w:szCs w:val="20"/>
              </w:rPr>
              <w:t xml:space="preserve">KPI’s have been Introduced to support this </w:t>
            </w:r>
            <w:proofErr w:type="gramStart"/>
            <w:r w:rsidRPr="00500B29">
              <w:rPr>
                <w:rFonts w:ascii="Gill Sans MT" w:hAnsi="Gill Sans MT" w:cs="Calibri"/>
                <w:sz w:val="20"/>
                <w:szCs w:val="20"/>
              </w:rPr>
              <w:t>through-out</w:t>
            </w:r>
            <w:proofErr w:type="gramEnd"/>
            <w:r w:rsidRPr="00500B29">
              <w:rPr>
                <w:rFonts w:ascii="Gill Sans MT" w:hAnsi="Gill Sans MT" w:cs="Calibri"/>
                <w:sz w:val="20"/>
                <w:szCs w:val="20"/>
              </w:rPr>
              <w:t xml:space="preserve"> school. (</w:t>
            </w:r>
            <w:r w:rsidRPr="00500B29">
              <w:rPr>
                <w:rFonts w:ascii="Gill Sans MT" w:hAnsi="Gill Sans MT" w:cs="Calibri"/>
                <w:i/>
                <w:sz w:val="20"/>
                <w:szCs w:val="20"/>
              </w:rPr>
              <w:t>NLE 2020)</w:t>
            </w:r>
          </w:p>
          <w:p w14:paraId="6880A07B" w14:textId="77777777" w:rsidR="00AC420A" w:rsidRPr="00500B29" w:rsidRDefault="00AC420A" w:rsidP="00ED09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C420A" w:rsidRPr="00500B29" w14:paraId="21A48465" w14:textId="77777777" w:rsidTr="00AC420A">
        <w:trPr>
          <w:trHeight w:val="1087"/>
        </w:trPr>
        <w:tc>
          <w:tcPr>
            <w:tcW w:w="384" w:type="dxa"/>
            <w:shd w:val="clear" w:color="auto" w:fill="DBDBDB" w:themeFill="accent3" w:themeFillTint="66"/>
          </w:tcPr>
          <w:p w14:paraId="3DA4C16B" w14:textId="7CAEB159" w:rsidR="00AC420A" w:rsidRPr="00500B29" w:rsidRDefault="00AC420A" w:rsidP="00B7606F">
            <w:pPr>
              <w:jc w:val="center"/>
              <w:rPr>
                <w:rFonts w:ascii="Gill Sans MT" w:hAnsi="Gill Sans MT" w:cstheme="majorHAnsi"/>
                <w:b/>
                <w:bCs/>
                <w:i/>
                <w:iCs/>
                <w:sz w:val="20"/>
                <w:szCs w:val="20"/>
              </w:rPr>
            </w:pPr>
            <w:r w:rsidRPr="00500B29">
              <w:rPr>
                <w:rFonts w:ascii="Gill Sans MT" w:hAnsi="Gill Sans MT" w:cstheme="majorHAns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47" w:type="dxa"/>
            <w:shd w:val="clear" w:color="auto" w:fill="DBDBDB" w:themeFill="accent3" w:themeFillTint="66"/>
          </w:tcPr>
          <w:p w14:paraId="1C21C3E8" w14:textId="789D17BE" w:rsidR="00AC420A" w:rsidRPr="00500B29" w:rsidRDefault="00AC420A" w:rsidP="00B7606F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hAnsi="Gill Sans MT" w:cstheme="majorHAnsi"/>
                <w:b/>
                <w:bCs/>
                <w:sz w:val="20"/>
                <w:szCs w:val="20"/>
              </w:rPr>
              <w:t>Enhance staff subject pedagogical knowledge in mathematics to improve the quality of teaching and improve pupil progress</w:t>
            </w:r>
          </w:p>
        </w:tc>
        <w:tc>
          <w:tcPr>
            <w:tcW w:w="1313" w:type="dxa"/>
            <w:shd w:val="clear" w:color="auto" w:fill="DBDBDB" w:themeFill="accent3" w:themeFillTint="66"/>
          </w:tcPr>
          <w:p w14:paraId="16F6DA21" w14:textId="0DB5B46C" w:rsidR="00AC420A" w:rsidRPr="00500B29" w:rsidRDefault="00AC420A" w:rsidP="00ED09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Leadership &amp; Management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5AC94154" w14:textId="77777777" w:rsidR="00AC420A" w:rsidRPr="00500B29" w:rsidRDefault="00AC420A" w:rsidP="006D1763">
            <w:pPr>
              <w:spacing w:line="276" w:lineRule="auto"/>
              <w:ind w:left="-3"/>
              <w:rPr>
                <w:rFonts w:ascii="Gill Sans MT" w:hAnsi="Gill Sans MT" w:cstheme="majorHAnsi"/>
                <w:b/>
                <w:sz w:val="20"/>
                <w:szCs w:val="20"/>
              </w:rPr>
            </w:pPr>
            <w:r w:rsidRPr="00500B29">
              <w:rPr>
                <w:rFonts w:ascii="Gill Sans MT" w:hAnsi="Gill Sans MT" w:cstheme="majorHAnsi"/>
                <w:b/>
                <w:sz w:val="20"/>
                <w:szCs w:val="20"/>
              </w:rPr>
              <w:t>Strategy One:</w:t>
            </w:r>
          </w:p>
          <w:p w14:paraId="5808D434" w14:textId="77777777" w:rsidR="00AC420A" w:rsidRPr="00500B29" w:rsidRDefault="00AC420A" w:rsidP="006D1763">
            <w:pPr>
              <w:rPr>
                <w:sz w:val="20"/>
                <w:szCs w:val="20"/>
              </w:rPr>
            </w:pPr>
            <w:r w:rsidRPr="00500B29">
              <w:rPr>
                <w:rFonts w:ascii="Gill Sans MT" w:hAnsi="Gill Sans MT" w:cstheme="majorHAnsi"/>
                <w:sz w:val="20"/>
                <w:szCs w:val="20"/>
              </w:rPr>
              <w:t>Use KPIs to plan, review and assess learning in maths.</w:t>
            </w:r>
            <w:r w:rsidRPr="00500B29">
              <w:rPr>
                <w:sz w:val="20"/>
                <w:szCs w:val="20"/>
              </w:rPr>
              <w:t xml:space="preserve"> </w:t>
            </w:r>
          </w:p>
          <w:p w14:paraId="30CC1DA4" w14:textId="77A6E0BE" w:rsidR="00AC420A" w:rsidRPr="00500B29" w:rsidRDefault="00AC420A" w:rsidP="006D1763">
            <w:pPr>
              <w:rPr>
                <w:rFonts w:ascii="Gill Sans MT" w:hAnsi="Gill Sans MT" w:cstheme="majorHAnsi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hAnsi="Gill Sans MT" w:cstheme="majorHAnsi"/>
                <w:b/>
                <w:bCs/>
                <w:sz w:val="20"/>
                <w:szCs w:val="20"/>
              </w:rPr>
              <w:t>Strategy Two:</w:t>
            </w:r>
          </w:p>
          <w:p w14:paraId="7F9CA10A" w14:textId="5DE3CC25" w:rsidR="00AC420A" w:rsidRPr="00500B29" w:rsidRDefault="00AC420A" w:rsidP="006D1763">
            <w:pPr>
              <w:rPr>
                <w:rFonts w:ascii="Gill Sans MT" w:hAnsi="Gill Sans MT" w:cstheme="majorHAnsi"/>
                <w:sz w:val="20"/>
                <w:szCs w:val="20"/>
              </w:rPr>
            </w:pPr>
            <w:r w:rsidRPr="00500B29">
              <w:rPr>
                <w:rFonts w:ascii="Gill Sans MT" w:hAnsi="Gill Sans MT" w:cstheme="majorHAnsi"/>
                <w:sz w:val="20"/>
                <w:szCs w:val="20"/>
              </w:rPr>
              <w:t>Improve teacher modelling of strategies so that it has a positive impact on pupil progress and promote systematic working in books.</w:t>
            </w:r>
          </w:p>
          <w:p w14:paraId="6DBE2D72" w14:textId="77777777" w:rsidR="00AC420A" w:rsidRPr="00500B29" w:rsidRDefault="00AC420A" w:rsidP="006D1763">
            <w:pPr>
              <w:spacing w:line="276" w:lineRule="auto"/>
              <w:ind w:left="-3"/>
              <w:rPr>
                <w:rFonts w:ascii="Gill Sans MT" w:hAnsi="Gill Sans MT" w:cstheme="majorHAnsi"/>
                <w:b/>
                <w:sz w:val="20"/>
                <w:szCs w:val="20"/>
              </w:rPr>
            </w:pPr>
            <w:r w:rsidRPr="00500B29">
              <w:rPr>
                <w:rFonts w:ascii="Gill Sans MT" w:hAnsi="Gill Sans MT" w:cstheme="majorHAnsi"/>
                <w:b/>
                <w:sz w:val="20"/>
                <w:szCs w:val="20"/>
              </w:rPr>
              <w:t>Strategy One:</w:t>
            </w:r>
          </w:p>
          <w:p w14:paraId="071B9F55" w14:textId="33E25225" w:rsidR="00AC420A" w:rsidRPr="00500B29" w:rsidRDefault="00AC420A" w:rsidP="006D1763">
            <w:pPr>
              <w:rPr>
                <w:rFonts w:ascii="Gill Sans MT" w:hAnsi="Gill Sans MT" w:cstheme="majorHAnsi"/>
                <w:sz w:val="20"/>
                <w:szCs w:val="20"/>
              </w:rPr>
            </w:pPr>
            <w:r w:rsidRPr="00500B29">
              <w:rPr>
                <w:rFonts w:ascii="Gill Sans MT" w:hAnsi="Gill Sans MT" w:cstheme="majorHAnsi"/>
                <w:sz w:val="20"/>
                <w:szCs w:val="20"/>
              </w:rPr>
              <w:t>Use KPIs to plan, review and assess learning in maths.</w:t>
            </w:r>
          </w:p>
          <w:p w14:paraId="5665544D" w14:textId="3B878C64" w:rsidR="00AC420A" w:rsidRPr="00500B29" w:rsidRDefault="00AC420A" w:rsidP="006D176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DBDB" w:themeFill="accent3" w:themeFillTint="66"/>
          </w:tcPr>
          <w:p w14:paraId="54E0378A" w14:textId="77777777" w:rsidR="00AC420A" w:rsidRPr="00500B29" w:rsidRDefault="00AC420A" w:rsidP="006D1763">
            <w:pPr>
              <w:rPr>
                <w:rFonts w:ascii="Gill Sans MT" w:hAnsi="Gill Sans MT" w:cstheme="majorHAnsi"/>
                <w:sz w:val="20"/>
                <w:szCs w:val="20"/>
              </w:rPr>
            </w:pPr>
            <w:r w:rsidRPr="00500B29">
              <w:rPr>
                <w:rFonts w:ascii="Gill Sans MT" w:hAnsi="Gill Sans MT" w:cstheme="majorHAnsi"/>
                <w:sz w:val="20"/>
                <w:szCs w:val="20"/>
              </w:rPr>
              <w:t xml:space="preserve">2021 maths attainment and progress data is inline or better with academy and DFE targets. Pupils in all bands make expected or better progress. </w:t>
            </w:r>
          </w:p>
          <w:p w14:paraId="38BF88F8" w14:textId="6402ADCC" w:rsidR="00AC420A" w:rsidRPr="00500B29" w:rsidRDefault="00AC420A" w:rsidP="006D1763">
            <w:pPr>
              <w:rPr>
                <w:rFonts w:ascii="Gill Sans MT" w:hAnsi="Gill Sans MT" w:cstheme="majorHAnsi"/>
                <w:sz w:val="20"/>
                <w:szCs w:val="20"/>
              </w:rPr>
            </w:pPr>
            <w:r w:rsidRPr="00500B29">
              <w:rPr>
                <w:rFonts w:ascii="Gill Sans MT" w:hAnsi="Gill Sans MT" w:cstheme="majorHAnsi"/>
                <w:sz w:val="20"/>
                <w:szCs w:val="20"/>
              </w:rPr>
              <w:t xml:space="preserve">There is a consistent approach across the academy in the way maths </w:t>
            </w:r>
            <w:proofErr w:type="gramStart"/>
            <w:r w:rsidRPr="00500B29">
              <w:rPr>
                <w:rFonts w:ascii="Gill Sans MT" w:hAnsi="Gill Sans MT" w:cstheme="majorHAnsi"/>
                <w:sz w:val="20"/>
                <w:szCs w:val="20"/>
              </w:rPr>
              <w:t>is taught, planned and assessed</w:t>
            </w:r>
            <w:proofErr w:type="gramEnd"/>
            <w:r w:rsidRPr="00500B29">
              <w:rPr>
                <w:rFonts w:ascii="Gill Sans MT" w:hAnsi="Gill Sans MT" w:cstheme="majorHAnsi"/>
                <w:sz w:val="20"/>
                <w:szCs w:val="20"/>
              </w:rPr>
              <w:t xml:space="preserve">. Teachers can articulate these processes clearly. </w:t>
            </w:r>
          </w:p>
          <w:p w14:paraId="26F651C9" w14:textId="77777777" w:rsidR="00AC420A" w:rsidRPr="00500B29" w:rsidRDefault="00AC420A" w:rsidP="006D1763">
            <w:pPr>
              <w:rPr>
                <w:rFonts w:ascii="Gill Sans MT" w:hAnsi="Gill Sans MT" w:cstheme="majorHAnsi"/>
                <w:sz w:val="20"/>
                <w:szCs w:val="20"/>
              </w:rPr>
            </w:pPr>
            <w:r w:rsidRPr="00500B29">
              <w:rPr>
                <w:rFonts w:ascii="Gill Sans MT" w:hAnsi="Gill Sans MT" w:cstheme="majorHAnsi"/>
                <w:sz w:val="20"/>
                <w:szCs w:val="20"/>
              </w:rPr>
              <w:t>Across the academy, teachers model strategies effectively so that pupils understand and can apply to independent work accurately.</w:t>
            </w:r>
          </w:p>
          <w:p w14:paraId="085FF095" w14:textId="52AC4EA1" w:rsidR="00AC420A" w:rsidRPr="00500B29" w:rsidRDefault="00AC420A" w:rsidP="006D1763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 w:cstheme="majorHAnsi"/>
                <w:sz w:val="20"/>
                <w:szCs w:val="20"/>
              </w:rPr>
              <w:t>Children are engaged in their mathematics learning; they can articulate their progress within the subject.</w:t>
            </w:r>
          </w:p>
        </w:tc>
      </w:tr>
      <w:tr w:rsidR="00AC420A" w:rsidRPr="00500B29" w14:paraId="28844959" w14:textId="77777777" w:rsidTr="00AC420A">
        <w:trPr>
          <w:trHeight w:val="1087"/>
        </w:trPr>
        <w:tc>
          <w:tcPr>
            <w:tcW w:w="384" w:type="dxa"/>
            <w:shd w:val="clear" w:color="auto" w:fill="CCFFFF"/>
          </w:tcPr>
          <w:p w14:paraId="472A2DDB" w14:textId="54D6A841" w:rsidR="00AC420A" w:rsidRPr="00500B29" w:rsidRDefault="00AC420A" w:rsidP="00B7606F">
            <w:pPr>
              <w:jc w:val="center"/>
              <w:rPr>
                <w:rFonts w:ascii="Gill Sans MT" w:eastAsia="Times New Roman" w:hAnsi="Gill Sans MT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500B29">
              <w:rPr>
                <w:rFonts w:ascii="Gill Sans MT" w:eastAsia="Times New Roman" w:hAnsi="Gill Sans MT" w:cs="Calibri"/>
                <w:b/>
                <w:bCs/>
                <w:i/>
                <w:i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47" w:type="dxa"/>
            <w:shd w:val="clear" w:color="auto" w:fill="CCFFFF"/>
          </w:tcPr>
          <w:p w14:paraId="3F77EA63" w14:textId="749D0733" w:rsidR="00AC420A" w:rsidRPr="00500B29" w:rsidRDefault="00AC420A" w:rsidP="00B7606F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GB"/>
              </w:rPr>
              <w:t>To ensure that pupils with SEND make consistent progress across school</w:t>
            </w:r>
          </w:p>
        </w:tc>
        <w:tc>
          <w:tcPr>
            <w:tcW w:w="1313" w:type="dxa"/>
            <w:shd w:val="clear" w:color="auto" w:fill="CCFFFF"/>
          </w:tcPr>
          <w:p w14:paraId="7B86A4E0" w14:textId="1BDBF458" w:rsidR="00AC420A" w:rsidRPr="00500B29" w:rsidRDefault="00AC420A" w:rsidP="009C5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Leadership &amp; Management</w:t>
            </w:r>
          </w:p>
        </w:tc>
        <w:tc>
          <w:tcPr>
            <w:tcW w:w="3260" w:type="dxa"/>
            <w:shd w:val="clear" w:color="auto" w:fill="CCFFFF"/>
          </w:tcPr>
          <w:p w14:paraId="308ACCFB" w14:textId="77777777" w:rsidR="00AC420A" w:rsidRPr="00500B29" w:rsidRDefault="00AC420A" w:rsidP="00B7606F">
            <w:pPr>
              <w:pStyle w:val="BodyText"/>
              <w:rPr>
                <w:rFonts w:ascii="Gill Sans MT" w:hAnsi="Gill Sans MT" w:cs="Calibri"/>
                <w:b/>
                <w:bCs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500B29">
              <w:rPr>
                <w:rFonts w:ascii="Gill Sans MT" w:hAnsi="Gill Sans MT" w:cs="Calibri"/>
                <w:b/>
                <w:bCs/>
                <w:sz w:val="20"/>
                <w:szCs w:val="20"/>
                <w:bdr w:val="none" w:sz="0" w:space="0" w:color="auto" w:frame="1"/>
                <w:lang w:val="en-US" w:eastAsia="en-GB"/>
              </w:rPr>
              <w:t>Strategy One:</w:t>
            </w:r>
          </w:p>
          <w:p w14:paraId="70711765" w14:textId="77777777" w:rsidR="00AC420A" w:rsidRPr="00500B29" w:rsidRDefault="00AC420A" w:rsidP="00B7606F">
            <w:pPr>
              <w:rPr>
                <w:rFonts w:ascii="Gill Sans MT" w:hAnsi="Gill Sans MT" w:cs="Calibri"/>
                <w:sz w:val="20"/>
                <w:szCs w:val="20"/>
              </w:rPr>
            </w:pPr>
            <w:r w:rsidRPr="00500B29">
              <w:rPr>
                <w:rFonts w:ascii="Gill Sans MT" w:hAnsi="Gill Sans MT" w:cs="Calibri"/>
                <w:sz w:val="20"/>
                <w:szCs w:val="20"/>
              </w:rPr>
              <w:t>All staff to use the Wakefield Progression steps to track children working Below ARE in order to accurately assess children with SEND</w:t>
            </w:r>
          </w:p>
          <w:p w14:paraId="74071629" w14:textId="77777777" w:rsidR="00AC420A" w:rsidRPr="00500B29" w:rsidRDefault="00AC420A" w:rsidP="00B7606F">
            <w:pPr>
              <w:ind w:left="3"/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500B29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bdr w:val="none" w:sz="0" w:space="0" w:color="auto" w:frame="1"/>
                <w:lang w:val="en-US" w:eastAsia="en-GB"/>
              </w:rPr>
              <w:t>Strategy Two:</w:t>
            </w:r>
          </w:p>
          <w:p w14:paraId="567EAB24" w14:textId="3F282020" w:rsidR="00AC420A" w:rsidRPr="00500B29" w:rsidRDefault="00AC420A" w:rsidP="00B7606F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 xml:space="preserve">Teachers to ensure pupils with SEND are fully involved in a broad, balanced and rich curriculum, which not only meets their personal needs </w:t>
            </w:r>
            <w:proofErr w:type="gramStart"/>
            <w:r w:rsidRPr="00500B29">
              <w:rPr>
                <w:rFonts w:ascii="Gill Sans MT" w:hAnsi="Gill Sans MT"/>
                <w:sz w:val="20"/>
                <w:szCs w:val="20"/>
              </w:rPr>
              <w:t>but</w:t>
            </w:r>
            <w:proofErr w:type="gramEnd"/>
            <w:r w:rsidRPr="00500B29">
              <w:rPr>
                <w:rFonts w:ascii="Gill Sans MT" w:hAnsi="Gill Sans MT"/>
                <w:sz w:val="20"/>
                <w:szCs w:val="20"/>
              </w:rPr>
              <w:t xml:space="preserve"> ensures essential knowledge and cultural capital gain for all.  </w:t>
            </w:r>
          </w:p>
          <w:p w14:paraId="54785DD7" w14:textId="77777777" w:rsidR="00AC420A" w:rsidRPr="00500B29" w:rsidRDefault="00AC420A" w:rsidP="00B7606F">
            <w:pPr>
              <w:ind w:left="3"/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500B29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bdr w:val="none" w:sz="0" w:space="0" w:color="auto" w:frame="1"/>
                <w:lang w:val="en-US" w:eastAsia="en-GB"/>
              </w:rPr>
              <w:t>Strategy Three:</w:t>
            </w:r>
          </w:p>
          <w:p w14:paraId="7667ADAE" w14:textId="28B4F22D" w:rsidR="00AC420A" w:rsidRPr="00500B29" w:rsidRDefault="00AC420A" w:rsidP="00B7606F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eastAsia="Times New Roman" w:hAnsi="Gill Sans MT" w:cs="Calibri"/>
                <w:bCs/>
                <w:sz w:val="20"/>
                <w:szCs w:val="20"/>
                <w:bdr w:val="none" w:sz="0" w:space="0" w:color="auto" w:frame="1"/>
                <w:lang w:val="en-US" w:eastAsia="en-GB"/>
              </w:rPr>
              <w:lastRenderedPageBreak/>
              <w:t>Rigorous monitoring of the progress of individual children with evaluation of the impact of current intervention</w:t>
            </w:r>
          </w:p>
        </w:tc>
        <w:tc>
          <w:tcPr>
            <w:tcW w:w="3261" w:type="dxa"/>
            <w:shd w:val="clear" w:color="auto" w:fill="CCFFFF"/>
          </w:tcPr>
          <w:p w14:paraId="0B81D1CE" w14:textId="7A3A3F83" w:rsidR="00AC420A" w:rsidRPr="00500B29" w:rsidRDefault="00AC420A" w:rsidP="00EA16C8">
            <w:pPr>
              <w:rPr>
                <w:rFonts w:ascii="Gill Sans MT" w:eastAsia="Times New Roman" w:hAnsi="Gill Sans MT" w:cs="Calibri"/>
                <w:sz w:val="20"/>
                <w:szCs w:val="20"/>
                <w:lang w:eastAsia="en-GB"/>
              </w:rPr>
            </w:pPr>
            <w:r w:rsidRPr="00500B29">
              <w:rPr>
                <w:rFonts w:ascii="Gill Sans MT" w:eastAsia="Times New Roman" w:hAnsi="Gill Sans MT" w:cs="Calibri"/>
                <w:sz w:val="20"/>
                <w:szCs w:val="20"/>
                <w:lang w:eastAsia="en-GB"/>
              </w:rPr>
              <w:lastRenderedPageBreak/>
              <w:t>All children with SEND make good progress</w:t>
            </w:r>
          </w:p>
          <w:p w14:paraId="6418506D" w14:textId="10FBD7BA" w:rsidR="00AC420A" w:rsidRPr="00500B29" w:rsidRDefault="00AC420A" w:rsidP="00F33E28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eastAsia="Times New Roman" w:hAnsi="Gill Sans MT" w:cs="Calibri"/>
                <w:sz w:val="20"/>
                <w:szCs w:val="20"/>
                <w:lang w:eastAsia="en-GB"/>
              </w:rPr>
              <w:t>T</w:t>
            </w:r>
            <w:r w:rsidRPr="00500B29">
              <w:rPr>
                <w:rFonts w:ascii="Gill Sans MT" w:hAnsi="Gill Sans MT"/>
                <w:sz w:val="20"/>
                <w:szCs w:val="20"/>
              </w:rPr>
              <w:t xml:space="preserve">eachers’ planning meets the needs of the least able pupils and pupils with SEND </w:t>
            </w:r>
          </w:p>
          <w:p w14:paraId="288FC400" w14:textId="2CE167A2" w:rsidR="00AC420A" w:rsidRPr="00500B29" w:rsidRDefault="00AC420A" w:rsidP="00F33E28">
            <w:pPr>
              <w:rPr>
                <w:rFonts w:ascii="Gill Sans MT" w:eastAsia="Times New Roman" w:hAnsi="Gill Sans MT" w:cs="Calibri"/>
                <w:sz w:val="20"/>
                <w:szCs w:val="20"/>
                <w:lang w:eastAsia="en-GB"/>
              </w:rPr>
            </w:pPr>
            <w:r w:rsidRPr="00500B29">
              <w:rPr>
                <w:rFonts w:ascii="Gill Sans MT" w:eastAsia="Times New Roman" w:hAnsi="Gill Sans MT" w:cs="Calibri"/>
                <w:sz w:val="20"/>
                <w:szCs w:val="20"/>
                <w:lang w:eastAsia="en-GB"/>
              </w:rPr>
              <w:t>The teaching of pupils with SEND is consistently good or better</w:t>
            </w:r>
          </w:p>
          <w:p w14:paraId="55C20E95" w14:textId="2DB9DA98" w:rsidR="00AC420A" w:rsidRPr="00500B29" w:rsidRDefault="00AC420A" w:rsidP="00F33E28">
            <w:pPr>
              <w:pStyle w:val="Default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color w:val="auto"/>
                <w:sz w:val="20"/>
                <w:szCs w:val="20"/>
              </w:rPr>
              <w:t>R</w:t>
            </w:r>
            <w:r w:rsidRPr="00500B29">
              <w:rPr>
                <w:rFonts w:ascii="Gill Sans MT" w:hAnsi="Gill Sans MT"/>
                <w:sz w:val="20"/>
                <w:szCs w:val="20"/>
              </w:rPr>
              <w:t>esources to support pupils with SEND an</w:t>
            </w:r>
            <w:r w:rsidRPr="00500B29">
              <w:rPr>
                <w:rFonts w:ascii="Gill Sans MT" w:hAnsi="Gill Sans MT"/>
                <w:sz w:val="20"/>
                <w:szCs w:val="20"/>
              </w:rPr>
              <w:t xml:space="preserve">d the least able pupils </w:t>
            </w:r>
            <w:proofErr w:type="gramStart"/>
            <w:r w:rsidRPr="00500B29">
              <w:rPr>
                <w:rFonts w:ascii="Gill Sans MT" w:hAnsi="Gill Sans MT"/>
                <w:sz w:val="20"/>
                <w:szCs w:val="20"/>
              </w:rPr>
              <w:t xml:space="preserve">are </w:t>
            </w:r>
            <w:r w:rsidRPr="00500B29">
              <w:rPr>
                <w:rFonts w:ascii="Gill Sans MT" w:hAnsi="Gill Sans MT"/>
                <w:sz w:val="20"/>
                <w:szCs w:val="20"/>
              </w:rPr>
              <w:t>effectively used</w:t>
            </w:r>
            <w:proofErr w:type="gramEnd"/>
            <w:r w:rsidRPr="00500B29">
              <w:rPr>
                <w:rFonts w:ascii="Gill Sans MT" w:hAnsi="Gill Sans MT"/>
                <w:sz w:val="20"/>
                <w:szCs w:val="20"/>
              </w:rPr>
              <w:t xml:space="preserve">. </w:t>
            </w:r>
          </w:p>
          <w:p w14:paraId="13D23ED7" w14:textId="77777777" w:rsidR="00AC420A" w:rsidRPr="00500B29" w:rsidRDefault="00AC420A" w:rsidP="00F33E28">
            <w:pPr>
              <w:pStyle w:val="Default"/>
              <w:rPr>
                <w:rFonts w:ascii="Gill Sans MT" w:hAnsi="Gill Sans MT"/>
                <w:sz w:val="20"/>
                <w:szCs w:val="20"/>
              </w:rPr>
            </w:pPr>
          </w:p>
          <w:p w14:paraId="027EE4A0" w14:textId="20A9D7E2" w:rsidR="00AC420A" w:rsidRPr="00500B29" w:rsidRDefault="00AC420A" w:rsidP="00EA16C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C420A" w:rsidRPr="00500B29" w14:paraId="462D786D" w14:textId="77777777" w:rsidTr="00AC420A">
        <w:trPr>
          <w:trHeight w:val="2542"/>
        </w:trPr>
        <w:tc>
          <w:tcPr>
            <w:tcW w:w="384" w:type="dxa"/>
            <w:shd w:val="clear" w:color="auto" w:fill="FFE1FF"/>
          </w:tcPr>
          <w:p w14:paraId="59DB7E2C" w14:textId="4A01A872" w:rsidR="00AC420A" w:rsidRPr="00500B29" w:rsidRDefault="00AC420A" w:rsidP="00B7606F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847" w:type="dxa"/>
            <w:shd w:val="clear" w:color="auto" w:fill="FFE1FF"/>
          </w:tcPr>
          <w:p w14:paraId="75FE9579" w14:textId="382E0DFD" w:rsidR="00AC420A" w:rsidRPr="00500B29" w:rsidRDefault="00AC420A" w:rsidP="00B7606F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To ensure there is good progress across the wider curriculum with some strong evidence that subjects are building progressively</w:t>
            </w:r>
          </w:p>
        </w:tc>
        <w:tc>
          <w:tcPr>
            <w:tcW w:w="1313" w:type="dxa"/>
            <w:shd w:val="clear" w:color="auto" w:fill="FFE1FF"/>
          </w:tcPr>
          <w:p w14:paraId="2142346A" w14:textId="61FEC1AB" w:rsidR="00AC420A" w:rsidRPr="00500B29" w:rsidRDefault="00AC420A" w:rsidP="009C5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Quality of Education</w:t>
            </w:r>
          </w:p>
        </w:tc>
        <w:tc>
          <w:tcPr>
            <w:tcW w:w="3260" w:type="dxa"/>
            <w:shd w:val="clear" w:color="auto" w:fill="FFE1FF"/>
          </w:tcPr>
          <w:p w14:paraId="1950CA74" w14:textId="77777777" w:rsidR="00AC420A" w:rsidRPr="00500B29" w:rsidRDefault="00AC420A" w:rsidP="00B7606F">
            <w:pPr>
              <w:ind w:left="-3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Strategy One:</w:t>
            </w:r>
            <w:r w:rsidRPr="00500B29">
              <w:rPr>
                <w:rFonts w:ascii="Gill Sans MT" w:hAnsi="Gill Sans MT"/>
                <w:sz w:val="20"/>
                <w:szCs w:val="20"/>
              </w:rPr>
              <w:t xml:space="preserve"> Design and embed a curriculum that is coherently sequenced</w:t>
            </w:r>
          </w:p>
          <w:p w14:paraId="2AC3176A" w14:textId="77777777" w:rsidR="00AC420A" w:rsidRPr="00500B29" w:rsidRDefault="00AC420A" w:rsidP="00B7606F">
            <w:pPr>
              <w:ind w:left="-3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Strategy Two:</w:t>
            </w:r>
            <w:r w:rsidRPr="00500B29">
              <w:rPr>
                <w:rFonts w:ascii="Gill Sans MT" w:hAnsi="Gill Sans MT"/>
                <w:sz w:val="20"/>
                <w:szCs w:val="20"/>
              </w:rPr>
              <w:t xml:space="preserve"> Ensure curriculum planning provides the same academic, technical, or vocational ambitions for almost all learners</w:t>
            </w:r>
          </w:p>
          <w:p w14:paraId="42B9415C" w14:textId="77FFF806" w:rsidR="00AC420A" w:rsidRPr="00500B29" w:rsidRDefault="00AC420A" w:rsidP="00B7606F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Strategy Three:</w:t>
            </w:r>
            <w:r w:rsidRPr="00500B29">
              <w:rPr>
                <w:rFonts w:ascii="Gill Sans MT" w:hAnsi="Gill Sans MT"/>
                <w:sz w:val="20"/>
                <w:szCs w:val="20"/>
              </w:rPr>
              <w:t xml:space="preserve"> Design and embed a curriculum that promotes sufficient knowledge and skills for future learning</w:t>
            </w:r>
          </w:p>
        </w:tc>
        <w:tc>
          <w:tcPr>
            <w:tcW w:w="3261" w:type="dxa"/>
            <w:shd w:val="clear" w:color="auto" w:fill="FFE1FF"/>
          </w:tcPr>
          <w:p w14:paraId="1476D85F" w14:textId="77777777" w:rsidR="00AC420A" w:rsidRPr="00500B29" w:rsidRDefault="00AC420A" w:rsidP="00B7606F">
            <w:pPr>
              <w:tabs>
                <w:tab w:val="left" w:pos="234"/>
              </w:tabs>
              <w:ind w:left="-3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In all subjects, the depth of pupils’ subject knowledge is deep.</w:t>
            </w:r>
          </w:p>
          <w:p w14:paraId="2E5779BF" w14:textId="77777777" w:rsidR="00AC420A" w:rsidRPr="00500B29" w:rsidRDefault="00AC420A" w:rsidP="00B7606F">
            <w:pPr>
              <w:tabs>
                <w:tab w:val="left" w:pos="234"/>
              </w:tabs>
              <w:ind w:left="-3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The curriculum challenges pupils and opens-up their horizons beyond their immediate vicinity and aids cultural capital gain</w:t>
            </w:r>
          </w:p>
          <w:p w14:paraId="6CE667EE" w14:textId="77777777" w:rsidR="00AC420A" w:rsidRPr="00500B29" w:rsidRDefault="00AC420A" w:rsidP="00B7606F">
            <w:pPr>
              <w:tabs>
                <w:tab w:val="left" w:pos="234"/>
              </w:tabs>
              <w:ind w:left="-3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 xml:space="preserve">Pupils </w:t>
            </w:r>
            <w:proofErr w:type="gramStart"/>
            <w:r w:rsidRPr="00500B29">
              <w:rPr>
                <w:rFonts w:ascii="Gill Sans MT" w:hAnsi="Gill Sans MT"/>
                <w:sz w:val="20"/>
                <w:szCs w:val="20"/>
              </w:rPr>
              <w:t>are taught</w:t>
            </w:r>
            <w:proofErr w:type="gramEnd"/>
            <w:r w:rsidRPr="00500B29">
              <w:rPr>
                <w:rFonts w:ascii="Gill Sans MT" w:hAnsi="Gill Sans MT"/>
                <w:sz w:val="20"/>
                <w:szCs w:val="20"/>
              </w:rPr>
              <w:t xml:space="preserve"> the skills required to make research an effective means of learning.</w:t>
            </w:r>
          </w:p>
          <w:p w14:paraId="580D50BE" w14:textId="5E2E039B" w:rsidR="00AC420A" w:rsidRPr="00500B29" w:rsidRDefault="00AC420A" w:rsidP="00B7606F">
            <w:pPr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Learning is sequential and aids semantic memory</w:t>
            </w:r>
          </w:p>
        </w:tc>
      </w:tr>
      <w:tr w:rsidR="00AC420A" w:rsidRPr="00500B29" w14:paraId="3AF1FF57" w14:textId="77777777" w:rsidTr="00AC420A">
        <w:trPr>
          <w:trHeight w:val="3924"/>
        </w:trPr>
        <w:tc>
          <w:tcPr>
            <w:tcW w:w="384" w:type="dxa"/>
            <w:shd w:val="clear" w:color="auto" w:fill="B0B4DE"/>
          </w:tcPr>
          <w:p w14:paraId="70BD1B8B" w14:textId="3CA7E74B" w:rsidR="00AC420A" w:rsidRPr="00500B29" w:rsidRDefault="00AC420A" w:rsidP="00B7606F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847" w:type="dxa"/>
            <w:shd w:val="clear" w:color="auto" w:fill="B0B4DE"/>
          </w:tcPr>
          <w:p w14:paraId="58055750" w14:textId="548440F7" w:rsidR="00AC420A" w:rsidRPr="00500B29" w:rsidRDefault="00AC420A" w:rsidP="00B7606F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To develop and embed a secure PSHE Framework which effectively supports children in gaining the </w:t>
            </w:r>
            <w:r w:rsidRPr="00500B29">
              <w:rPr>
                <w:rFonts w:ascii="Gill Sans MT" w:hAnsi="Gill Sans MT" w:cs="Arial"/>
                <w:b/>
                <w:bCs/>
                <w:sz w:val="20"/>
                <w:szCs w:val="20"/>
              </w:rPr>
              <w:t>knowledge, understanding and skills they need to manage their lives, now and in the future</w:t>
            </w:r>
          </w:p>
        </w:tc>
        <w:tc>
          <w:tcPr>
            <w:tcW w:w="1313" w:type="dxa"/>
            <w:shd w:val="clear" w:color="auto" w:fill="B0B4DE"/>
          </w:tcPr>
          <w:p w14:paraId="5FF38EE6" w14:textId="62484CE6" w:rsidR="00AC420A" w:rsidRPr="00500B29" w:rsidRDefault="00AC420A" w:rsidP="009C5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Personal Development</w:t>
            </w:r>
          </w:p>
        </w:tc>
        <w:tc>
          <w:tcPr>
            <w:tcW w:w="3260" w:type="dxa"/>
            <w:shd w:val="clear" w:color="auto" w:fill="B0B4DE"/>
          </w:tcPr>
          <w:p w14:paraId="016802C6" w14:textId="2499E4BE" w:rsidR="00AC420A" w:rsidRPr="00500B29" w:rsidRDefault="00AC420A" w:rsidP="009C5A09">
            <w:pPr>
              <w:ind w:left="-3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Strategy One:</w:t>
            </w:r>
            <w:r w:rsidRPr="00500B29">
              <w:rPr>
                <w:rFonts w:ascii="Gill Sans MT" w:hAnsi="Gill Sans MT"/>
                <w:sz w:val="20"/>
                <w:szCs w:val="20"/>
              </w:rPr>
              <w:t xml:space="preserve">  Ensure there is a whole</w:t>
            </w:r>
            <w:r w:rsidR="00F71171">
              <w:rPr>
                <w:rFonts w:ascii="Gill Sans MT" w:hAnsi="Gill Sans MT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00B29">
              <w:rPr>
                <w:rFonts w:ascii="Gill Sans MT" w:hAnsi="Gill Sans MT"/>
                <w:sz w:val="20"/>
                <w:szCs w:val="20"/>
              </w:rPr>
              <w:t>school framework to the assessment of PSHE which</w:t>
            </w:r>
            <w:r w:rsidR="00F7117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500B29">
              <w:rPr>
                <w:rFonts w:ascii="Gill Sans MT" w:hAnsi="Gill Sans MT"/>
                <w:sz w:val="20"/>
                <w:szCs w:val="20"/>
              </w:rPr>
              <w:t>is evaluated termly.</w:t>
            </w:r>
          </w:p>
          <w:p w14:paraId="2682A866" w14:textId="77777777" w:rsidR="00AC420A" w:rsidRPr="00500B29" w:rsidRDefault="00AC420A" w:rsidP="009C5A09">
            <w:pPr>
              <w:ind w:left="-3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b/>
                <w:bCs/>
                <w:sz w:val="20"/>
                <w:szCs w:val="20"/>
              </w:rPr>
              <w:t>Strategy Two:</w:t>
            </w:r>
            <w:r w:rsidRPr="00500B29">
              <w:rPr>
                <w:rFonts w:ascii="Gill Sans MT" w:hAnsi="Gill Sans MT"/>
                <w:sz w:val="20"/>
                <w:szCs w:val="20"/>
              </w:rPr>
              <w:t xml:space="preserve"> To improve the quality and </w:t>
            </w:r>
          </w:p>
          <w:p w14:paraId="0E3F221A" w14:textId="7D830919" w:rsidR="00AC420A" w:rsidRPr="00500B29" w:rsidRDefault="00AC420A" w:rsidP="009C5A09">
            <w:pPr>
              <w:ind w:left="-3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effectiveness of PSHE across the school</w:t>
            </w:r>
          </w:p>
          <w:p w14:paraId="1DBE018C" w14:textId="77777777" w:rsidR="00AC420A" w:rsidRPr="00500B29" w:rsidRDefault="00AC420A" w:rsidP="009C5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B0B4DE"/>
          </w:tcPr>
          <w:p w14:paraId="176FC274" w14:textId="77777777" w:rsidR="00AC420A" w:rsidRPr="00500B29" w:rsidRDefault="00AC420A" w:rsidP="00B7606F">
            <w:pPr>
              <w:pStyle w:val="Heading3"/>
              <w:outlineLvl w:val="2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500B29">
              <w:rPr>
                <w:rFonts w:ascii="Gill Sans MT" w:hAnsi="Gill Sans MT"/>
                <w:color w:val="auto"/>
                <w:sz w:val="20"/>
                <w:szCs w:val="20"/>
              </w:rPr>
              <w:t xml:space="preserve">Pupils demonstrate excellent personal and social skills </w:t>
            </w:r>
          </w:p>
          <w:p w14:paraId="3583A57F" w14:textId="77777777" w:rsidR="00AC420A" w:rsidRPr="00500B29" w:rsidRDefault="00AC420A" w:rsidP="00B7606F">
            <w:pPr>
              <w:tabs>
                <w:tab w:val="left" w:pos="234"/>
              </w:tabs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Pupils share a sense of pride in the contribution they make in school</w:t>
            </w:r>
          </w:p>
          <w:p w14:paraId="1670CC4F" w14:textId="77777777" w:rsidR="00AC420A" w:rsidRPr="00500B29" w:rsidRDefault="00AC420A" w:rsidP="00B7606F">
            <w:pPr>
              <w:pStyle w:val="Heading3"/>
              <w:outlineLvl w:val="2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500B29">
              <w:rPr>
                <w:rFonts w:ascii="Gill Sans MT" w:hAnsi="Gill Sans MT"/>
                <w:color w:val="auto"/>
                <w:sz w:val="20"/>
                <w:szCs w:val="20"/>
              </w:rPr>
              <w:t xml:space="preserve">Pupils can describe what they have learnt in PSHE with maturity and enthusiasm </w:t>
            </w:r>
          </w:p>
          <w:p w14:paraId="005ABE02" w14:textId="77777777" w:rsidR="00AC420A" w:rsidRPr="00500B29" w:rsidRDefault="00AC420A" w:rsidP="00B7606F">
            <w:pPr>
              <w:pStyle w:val="Heading3"/>
              <w:outlineLvl w:val="2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500B29">
              <w:rPr>
                <w:rFonts w:ascii="Gill Sans MT" w:hAnsi="Gill Sans MT"/>
                <w:color w:val="auto"/>
                <w:sz w:val="20"/>
                <w:szCs w:val="20"/>
              </w:rPr>
              <w:t xml:space="preserve">Pupils are independent learners and take responsibility </w:t>
            </w:r>
          </w:p>
          <w:p w14:paraId="3437F4E5" w14:textId="77777777" w:rsidR="00AC420A" w:rsidRPr="00500B29" w:rsidRDefault="00AC420A" w:rsidP="00B7606F">
            <w:pPr>
              <w:tabs>
                <w:tab w:val="left" w:pos="234"/>
              </w:tabs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There is a direct positive impact on attendance and punctuality</w:t>
            </w:r>
          </w:p>
          <w:p w14:paraId="61BAC870" w14:textId="77777777" w:rsidR="00AC420A" w:rsidRPr="00500B29" w:rsidRDefault="00AC420A" w:rsidP="00B7606F">
            <w:pPr>
              <w:tabs>
                <w:tab w:val="left" w:pos="234"/>
              </w:tabs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Outcomes rise across the curriculum</w:t>
            </w:r>
          </w:p>
          <w:p w14:paraId="1D4E123B" w14:textId="55A85158" w:rsidR="00AC420A" w:rsidRPr="00500B29" w:rsidRDefault="00AC420A" w:rsidP="00B7606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00B29">
              <w:rPr>
                <w:rFonts w:ascii="Gill Sans MT" w:hAnsi="Gill Sans MT"/>
                <w:sz w:val="20"/>
                <w:szCs w:val="20"/>
              </w:rPr>
              <w:t>There is a positive climate of student-student, student to teacher and teacher to carer relationship</w:t>
            </w:r>
          </w:p>
        </w:tc>
      </w:tr>
    </w:tbl>
    <w:p w14:paraId="733F4D83" w14:textId="77777777" w:rsidR="00743834" w:rsidRPr="00500B29" w:rsidRDefault="00743834" w:rsidP="00743834">
      <w:pPr>
        <w:jc w:val="center"/>
        <w:rPr>
          <w:rFonts w:ascii="Gill Sans MT" w:hAnsi="Gill Sans MT"/>
          <w:b/>
          <w:bCs/>
          <w:sz w:val="20"/>
          <w:szCs w:val="20"/>
        </w:rPr>
      </w:pPr>
    </w:p>
    <w:sectPr w:rsidR="00743834" w:rsidRPr="00500B29" w:rsidSect="00743834">
      <w:pgSz w:w="11906" w:h="16838"/>
      <w:pgMar w:top="1440" w:right="1440" w:bottom="1440" w:left="144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027C"/>
    <w:multiLevelType w:val="hybridMultilevel"/>
    <w:tmpl w:val="0868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E72"/>
    <w:multiLevelType w:val="hybridMultilevel"/>
    <w:tmpl w:val="DA8E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17F96"/>
    <w:multiLevelType w:val="hybridMultilevel"/>
    <w:tmpl w:val="BD12FF00"/>
    <w:lvl w:ilvl="0" w:tplc="04C66F2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632D3"/>
    <w:multiLevelType w:val="hybridMultilevel"/>
    <w:tmpl w:val="15547686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64E43B44"/>
    <w:multiLevelType w:val="hybridMultilevel"/>
    <w:tmpl w:val="2E18D7F0"/>
    <w:lvl w:ilvl="0" w:tplc="A7FCE58A">
      <w:start w:val="1"/>
      <w:numFmt w:val="bullet"/>
      <w:pStyle w:val="ListParagraph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3C0BFC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EE008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BE938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10900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0B73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345A0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78E36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FE622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34"/>
    <w:rsid w:val="0005655B"/>
    <w:rsid w:val="0016318A"/>
    <w:rsid w:val="001F5E49"/>
    <w:rsid w:val="00216387"/>
    <w:rsid w:val="0022772F"/>
    <w:rsid w:val="00335BBF"/>
    <w:rsid w:val="003D15F8"/>
    <w:rsid w:val="00500B29"/>
    <w:rsid w:val="006D1763"/>
    <w:rsid w:val="007348F3"/>
    <w:rsid w:val="00743834"/>
    <w:rsid w:val="0094288F"/>
    <w:rsid w:val="009C5A09"/>
    <w:rsid w:val="009D2BF2"/>
    <w:rsid w:val="00A64904"/>
    <w:rsid w:val="00AC420A"/>
    <w:rsid w:val="00B7606F"/>
    <w:rsid w:val="00B8339C"/>
    <w:rsid w:val="00C51A45"/>
    <w:rsid w:val="00E8148C"/>
    <w:rsid w:val="00EA16C8"/>
    <w:rsid w:val="00ED0977"/>
    <w:rsid w:val="00F33E28"/>
    <w:rsid w:val="00F71171"/>
    <w:rsid w:val="00F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3E86"/>
  <w15:chartTrackingRefBased/>
  <w15:docId w15:val="{E3EB9CAA-E6B6-4A94-96F3-C9756EC4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A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C5A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A09"/>
    <w:pPr>
      <w:numPr>
        <w:numId w:val="1"/>
      </w:numPr>
      <w:tabs>
        <w:tab w:val="clear" w:pos="720"/>
        <w:tab w:val="num" w:pos="284"/>
      </w:tabs>
      <w:spacing w:after="0" w:line="240" w:lineRule="auto"/>
      <w:ind w:left="284" w:hanging="284"/>
      <w:contextualSpacing/>
    </w:pPr>
    <w:rPr>
      <w:rFonts w:ascii="Times" w:eastAsiaTheme="minorEastAsia" w:hAnsi="Times"/>
      <w:sz w:val="20"/>
      <w:szCs w:val="20"/>
    </w:rPr>
  </w:style>
  <w:style w:type="paragraph" w:customStyle="1" w:styleId="BulletedList">
    <w:name w:val="Bulleted List"/>
    <w:basedOn w:val="Normal"/>
    <w:qFormat/>
    <w:rsid w:val="00B7606F"/>
    <w:pPr>
      <w:numPr>
        <w:numId w:val="3"/>
      </w:numPr>
      <w:spacing w:after="0" w:line="360" w:lineRule="auto"/>
    </w:pPr>
    <w:rPr>
      <w:rFonts w:ascii="Calibri" w:eastAsiaTheme="minorEastAsia" w:hAnsi="Calibri"/>
      <w:sz w:val="24"/>
      <w:szCs w:val="24"/>
    </w:rPr>
  </w:style>
  <w:style w:type="paragraph" w:styleId="BodyText">
    <w:name w:val="Body Text"/>
    <w:basedOn w:val="Normal"/>
    <w:link w:val="BodyTextChar"/>
    <w:semiHidden/>
    <w:rsid w:val="00B7606F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7606F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F33E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Travis</dc:creator>
  <cp:keywords/>
  <dc:description/>
  <cp:lastModifiedBy>Samantha Travis</cp:lastModifiedBy>
  <cp:revision>17</cp:revision>
  <dcterms:created xsi:type="dcterms:W3CDTF">2020-09-26T16:35:00Z</dcterms:created>
  <dcterms:modified xsi:type="dcterms:W3CDTF">2020-09-30T12:47:00Z</dcterms:modified>
</cp:coreProperties>
</file>